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541E" w14:textId="6D4FD3B7" w:rsidR="002A2CF8" w:rsidRDefault="003F4E63" w:rsidP="00EB1186">
      <w:r>
        <w:rPr>
          <w:noProof/>
        </w:rPr>
        <w:drawing>
          <wp:anchor distT="0" distB="0" distL="114300" distR="114300" simplePos="0" relativeHeight="251658241" behindDoc="0" locked="0" layoutInCell="1" allowOverlap="1" wp14:anchorId="70DDB21F" wp14:editId="4ED570A9">
            <wp:simplePos x="6177776" y="356839"/>
            <wp:positionH relativeFrom="column">
              <wp:align>right</wp:align>
            </wp:positionH>
            <wp:positionV relativeFrom="paragraph">
              <wp:align>top</wp:align>
            </wp:positionV>
            <wp:extent cx="1238250" cy="150495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38250" cy="1504950"/>
                    </a:xfrm>
                    <a:prstGeom prst="rect">
                      <a:avLst/>
                    </a:prstGeom>
                  </pic:spPr>
                </pic:pic>
              </a:graphicData>
            </a:graphic>
          </wp:anchor>
        </w:drawing>
      </w:r>
      <w:r w:rsidR="00EB1186">
        <w:br w:type="textWrapping" w:clear="all"/>
      </w:r>
    </w:p>
    <w:p w14:paraId="4BE588EE" w14:textId="3FC2F5E4" w:rsidR="003F4E63" w:rsidRDefault="003F4E63" w:rsidP="003F4E63"/>
    <w:p w14:paraId="7C47CE34" w14:textId="304B2672" w:rsidR="003F4E63" w:rsidRDefault="000B4861" w:rsidP="003F4E63">
      <w:pPr>
        <w:pBdr>
          <w:bottom w:val="single" w:sz="12" w:space="1" w:color="auto"/>
        </w:pBdr>
        <w:spacing w:after="0" w:line="240" w:lineRule="auto"/>
        <w:rPr>
          <w:rFonts w:ascii="Arial" w:eastAsia="Times New Roman" w:hAnsi="Arial" w:cs="Arial"/>
          <w:b/>
          <w:bCs/>
          <w:color w:val="595959"/>
          <w:sz w:val="28"/>
          <w:szCs w:val="28"/>
          <w:lang w:eastAsia="en-CA"/>
        </w:rPr>
      </w:pPr>
      <w:r>
        <w:rPr>
          <w:rFonts w:ascii="Arial" w:eastAsia="Times New Roman" w:hAnsi="Arial" w:cs="Arial"/>
          <w:b/>
          <w:bCs/>
          <w:color w:val="595959"/>
          <w:sz w:val="28"/>
          <w:szCs w:val="28"/>
          <w:lang w:eastAsia="en-CA"/>
        </w:rPr>
        <w:t>Political</w:t>
      </w:r>
      <w:r w:rsidR="003F4E63" w:rsidRPr="003F4E63">
        <w:rPr>
          <w:rFonts w:ascii="Arial" w:eastAsia="Times New Roman" w:hAnsi="Arial" w:cs="Arial"/>
          <w:b/>
          <w:bCs/>
          <w:color w:val="595959"/>
          <w:sz w:val="28"/>
          <w:szCs w:val="28"/>
          <w:lang w:eastAsia="en-CA"/>
        </w:rPr>
        <w:t xml:space="preserve"> Risk Assessment </w:t>
      </w:r>
    </w:p>
    <w:p w14:paraId="136E89F6" w14:textId="435D4F74" w:rsidR="000471D5" w:rsidRPr="003F4E63" w:rsidRDefault="005858ED" w:rsidP="000471D5">
      <w:pPr>
        <w:spacing w:before="214" w:after="0" w:line="240" w:lineRule="auto"/>
        <w:ind w:right="1964"/>
        <w:rPr>
          <w:rFonts w:ascii="Arial" w:hAnsi="Arial" w:cs="Arial"/>
          <w:color w:val="000000"/>
          <w:sz w:val="56"/>
          <w:szCs w:val="56"/>
        </w:rPr>
      </w:pPr>
      <w:r>
        <w:rPr>
          <w:rFonts w:ascii="Arial" w:hAnsi="Arial" w:cs="Arial"/>
          <w:color w:val="000000"/>
          <w:sz w:val="62"/>
          <w:szCs w:val="62"/>
        </w:rPr>
        <w:t>Pacific Gas &amp; Electric: The Future of the Energy System in California</w:t>
      </w:r>
    </w:p>
    <w:p w14:paraId="544E8A09" w14:textId="77777777" w:rsidR="003F4E63" w:rsidRPr="003F4E63" w:rsidRDefault="003F4E63" w:rsidP="003F4E63">
      <w:pPr>
        <w:pStyle w:val="Heading2"/>
        <w:rPr>
          <w:rFonts w:eastAsia="Times New Roman"/>
          <w:lang w:eastAsia="en-CA"/>
        </w:rPr>
      </w:pPr>
    </w:p>
    <w:p w14:paraId="1D9AB79E" w14:textId="2CB15642" w:rsidR="003F4E63" w:rsidRDefault="003F4E63" w:rsidP="003F4E63">
      <w:pPr>
        <w:pBdr>
          <w:bottom w:val="single" w:sz="12" w:space="1" w:color="auto"/>
        </w:pBdr>
        <w:rPr>
          <w:rFonts w:ascii="Arial" w:eastAsia="Times New Roman" w:hAnsi="Arial" w:cs="Arial"/>
          <w:b/>
          <w:bCs/>
          <w:color w:val="595959"/>
          <w:sz w:val="24"/>
          <w:szCs w:val="24"/>
          <w:lang w:eastAsia="en-CA"/>
        </w:rPr>
      </w:pPr>
      <w:r w:rsidRPr="003F4E63">
        <w:rPr>
          <w:rFonts w:ascii="Arial" w:eastAsia="Times New Roman" w:hAnsi="Arial" w:cs="Arial"/>
          <w:b/>
          <w:bCs/>
          <w:color w:val="595959"/>
          <w:sz w:val="24"/>
          <w:szCs w:val="24"/>
          <w:lang w:eastAsia="en-CA"/>
        </w:rPr>
        <w:t xml:space="preserve">Prepared by the Leadership &amp; Democracy Lab, University of Western Ontario </w:t>
      </w:r>
    </w:p>
    <w:p w14:paraId="35600717" w14:textId="1905AD4F" w:rsidR="003F4E63" w:rsidRDefault="003F4E63" w:rsidP="003F4E63">
      <w:pPr>
        <w:rPr>
          <w:rFonts w:ascii="Arial" w:eastAsia="Times New Roman" w:hAnsi="Arial" w:cs="Arial"/>
          <w:color w:val="231F20"/>
          <w:sz w:val="20"/>
          <w:szCs w:val="20"/>
          <w:lang w:eastAsia="en-CA"/>
        </w:rPr>
      </w:pPr>
      <w:r w:rsidRPr="003F4E63">
        <w:rPr>
          <w:rFonts w:ascii="Arial" w:eastAsia="Times New Roman" w:hAnsi="Arial" w:cs="Arial"/>
          <w:color w:val="231F20"/>
          <w:sz w:val="20"/>
          <w:szCs w:val="20"/>
          <w:lang w:eastAsia="en-CA"/>
        </w:rPr>
        <w:t>Published A</w:t>
      </w:r>
      <w:r w:rsidR="000B4861">
        <w:rPr>
          <w:rFonts w:ascii="Arial" w:eastAsia="Times New Roman" w:hAnsi="Arial" w:cs="Arial"/>
          <w:color w:val="231F20"/>
          <w:sz w:val="20"/>
          <w:szCs w:val="20"/>
          <w:lang w:eastAsia="en-CA"/>
        </w:rPr>
        <w:t>ugust</w:t>
      </w:r>
      <w:r w:rsidRPr="003F4E63">
        <w:rPr>
          <w:rFonts w:ascii="Arial" w:eastAsia="Times New Roman" w:hAnsi="Arial" w:cs="Arial"/>
          <w:color w:val="231F20"/>
          <w:sz w:val="20"/>
          <w:szCs w:val="20"/>
          <w:lang w:eastAsia="en-CA"/>
        </w:rPr>
        <w:t xml:space="preserve"> 20</w:t>
      </w:r>
      <w:r>
        <w:rPr>
          <w:rFonts w:ascii="Arial" w:eastAsia="Times New Roman" w:hAnsi="Arial" w:cs="Arial"/>
          <w:color w:val="231F20"/>
          <w:sz w:val="20"/>
          <w:szCs w:val="20"/>
          <w:lang w:eastAsia="en-CA"/>
        </w:rPr>
        <w:t>2</w:t>
      </w:r>
      <w:r w:rsidR="000B4861">
        <w:rPr>
          <w:rFonts w:ascii="Arial" w:eastAsia="Times New Roman" w:hAnsi="Arial" w:cs="Arial"/>
          <w:color w:val="231F20"/>
          <w:sz w:val="20"/>
          <w:szCs w:val="20"/>
          <w:lang w:eastAsia="en-CA"/>
        </w:rPr>
        <w:t>2</w:t>
      </w:r>
    </w:p>
    <w:p w14:paraId="2F418EF5" w14:textId="7CEF5AE9" w:rsidR="00E25F12" w:rsidRDefault="0001147C" w:rsidP="003F4E63">
      <w:pPr>
        <w:rPr>
          <w:rFonts w:ascii="Arial" w:eastAsia="Times New Roman" w:hAnsi="Arial" w:cs="Arial"/>
          <w:color w:val="231F20"/>
          <w:sz w:val="20"/>
          <w:szCs w:val="20"/>
          <w:lang w:eastAsia="en-CA"/>
        </w:rPr>
      </w:pPr>
      <w:r>
        <w:rPr>
          <w:noProof/>
        </w:rPr>
        <w:drawing>
          <wp:anchor distT="0" distB="0" distL="114300" distR="114300" simplePos="0" relativeHeight="251658240" behindDoc="1" locked="0" layoutInCell="1" allowOverlap="1" wp14:anchorId="280E1D18" wp14:editId="46329CE8">
            <wp:simplePos x="0" y="0"/>
            <wp:positionH relativeFrom="page">
              <wp:posOffset>-2103645</wp:posOffset>
            </wp:positionH>
            <wp:positionV relativeFrom="paragraph">
              <wp:posOffset>369570</wp:posOffset>
            </wp:positionV>
            <wp:extent cx="12320320" cy="4671392"/>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320320" cy="46713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4FDF2" w14:textId="16DED072" w:rsidR="00E25F12" w:rsidRDefault="00E25F12" w:rsidP="003F4E63">
      <w:pPr>
        <w:rPr>
          <w:rFonts w:ascii="Arial" w:eastAsia="Times New Roman" w:hAnsi="Arial" w:cs="Arial"/>
          <w:color w:val="231F20"/>
          <w:sz w:val="20"/>
          <w:szCs w:val="20"/>
          <w:lang w:eastAsia="en-CA"/>
        </w:rPr>
      </w:pPr>
    </w:p>
    <w:p w14:paraId="049AB0A5" w14:textId="262BEC52" w:rsidR="00E25F12" w:rsidRDefault="00E25F12" w:rsidP="003F4E63">
      <w:pPr>
        <w:rPr>
          <w:rFonts w:ascii="Arial" w:eastAsia="Times New Roman" w:hAnsi="Arial" w:cs="Arial"/>
          <w:color w:val="231F20"/>
          <w:sz w:val="20"/>
          <w:szCs w:val="20"/>
          <w:lang w:eastAsia="en-CA"/>
        </w:rPr>
      </w:pPr>
    </w:p>
    <w:p w14:paraId="25E61374" w14:textId="17376116" w:rsidR="00E25F12" w:rsidRDefault="00E25F12" w:rsidP="003F4E63">
      <w:pPr>
        <w:rPr>
          <w:rFonts w:ascii="Arial" w:eastAsia="Times New Roman" w:hAnsi="Arial" w:cs="Arial"/>
          <w:color w:val="231F20"/>
          <w:sz w:val="20"/>
          <w:szCs w:val="20"/>
          <w:lang w:eastAsia="en-CA"/>
        </w:rPr>
      </w:pPr>
    </w:p>
    <w:p w14:paraId="38041DC0" w14:textId="17C764E4" w:rsidR="00E25F12" w:rsidRDefault="00E25F12" w:rsidP="003F4E63">
      <w:pPr>
        <w:rPr>
          <w:rFonts w:ascii="Arial" w:eastAsia="Times New Roman" w:hAnsi="Arial" w:cs="Arial"/>
          <w:color w:val="231F20"/>
          <w:sz w:val="20"/>
          <w:szCs w:val="20"/>
          <w:lang w:eastAsia="en-CA"/>
        </w:rPr>
      </w:pPr>
    </w:p>
    <w:p w14:paraId="4E0FDF92" w14:textId="5E12D689" w:rsidR="00E25F12" w:rsidRDefault="00E25F12" w:rsidP="003F4E63">
      <w:pPr>
        <w:rPr>
          <w:rFonts w:ascii="Arial" w:eastAsia="Times New Roman" w:hAnsi="Arial" w:cs="Arial"/>
          <w:color w:val="231F20"/>
          <w:sz w:val="20"/>
          <w:szCs w:val="20"/>
          <w:lang w:eastAsia="en-CA"/>
        </w:rPr>
      </w:pPr>
    </w:p>
    <w:p w14:paraId="0286C6A5" w14:textId="494FC38B" w:rsidR="00E25F12" w:rsidRDefault="00E25F12" w:rsidP="003F4E63">
      <w:pPr>
        <w:rPr>
          <w:rFonts w:ascii="Arial" w:eastAsia="Times New Roman" w:hAnsi="Arial" w:cs="Arial"/>
          <w:color w:val="231F20"/>
          <w:sz w:val="20"/>
          <w:szCs w:val="20"/>
          <w:lang w:eastAsia="en-CA"/>
        </w:rPr>
      </w:pPr>
    </w:p>
    <w:p w14:paraId="3D1C3B73" w14:textId="4771A45C" w:rsidR="00E25F12" w:rsidRDefault="00E25F12" w:rsidP="003F4E63">
      <w:pPr>
        <w:rPr>
          <w:rFonts w:ascii="Arial" w:eastAsia="Times New Roman" w:hAnsi="Arial" w:cs="Arial"/>
          <w:color w:val="231F20"/>
          <w:sz w:val="20"/>
          <w:szCs w:val="20"/>
          <w:lang w:eastAsia="en-CA"/>
        </w:rPr>
      </w:pPr>
    </w:p>
    <w:p w14:paraId="4336DF14" w14:textId="37EAA979" w:rsidR="00E25F12" w:rsidRDefault="00E25F12" w:rsidP="003F4E63">
      <w:pPr>
        <w:rPr>
          <w:rFonts w:ascii="Arial" w:eastAsia="Times New Roman" w:hAnsi="Arial" w:cs="Arial"/>
          <w:color w:val="231F20"/>
          <w:sz w:val="20"/>
          <w:szCs w:val="20"/>
          <w:lang w:eastAsia="en-CA"/>
        </w:rPr>
      </w:pPr>
    </w:p>
    <w:p w14:paraId="716AE461" w14:textId="2CC843D1" w:rsidR="00E25F12" w:rsidRDefault="00E25F12" w:rsidP="003F4E63">
      <w:pPr>
        <w:rPr>
          <w:rFonts w:ascii="Arial" w:eastAsia="Times New Roman" w:hAnsi="Arial" w:cs="Arial"/>
          <w:color w:val="231F20"/>
          <w:sz w:val="20"/>
          <w:szCs w:val="20"/>
          <w:lang w:eastAsia="en-CA"/>
        </w:rPr>
      </w:pPr>
    </w:p>
    <w:p w14:paraId="19DE7608" w14:textId="0662C0DD" w:rsidR="00E25F12" w:rsidRDefault="00E25F12" w:rsidP="003F4E63">
      <w:pPr>
        <w:rPr>
          <w:rFonts w:ascii="Arial" w:eastAsia="Times New Roman" w:hAnsi="Arial" w:cs="Arial"/>
          <w:color w:val="231F20"/>
          <w:sz w:val="20"/>
          <w:szCs w:val="20"/>
          <w:lang w:eastAsia="en-CA"/>
        </w:rPr>
      </w:pPr>
    </w:p>
    <w:p w14:paraId="158D9B5B" w14:textId="748DA6F5" w:rsidR="00E25F12" w:rsidRDefault="00E25F12" w:rsidP="003F4E63">
      <w:pPr>
        <w:rPr>
          <w:rFonts w:ascii="Arial" w:eastAsia="Times New Roman" w:hAnsi="Arial" w:cs="Arial"/>
          <w:color w:val="231F20"/>
          <w:sz w:val="20"/>
          <w:szCs w:val="20"/>
          <w:lang w:eastAsia="en-CA"/>
        </w:rPr>
      </w:pPr>
    </w:p>
    <w:p w14:paraId="794AE7FB" w14:textId="49B28670" w:rsidR="00E25F12" w:rsidRDefault="00E25F12" w:rsidP="003F4E63">
      <w:pPr>
        <w:rPr>
          <w:rFonts w:ascii="Arial" w:eastAsia="Times New Roman" w:hAnsi="Arial" w:cs="Arial"/>
          <w:color w:val="231F20"/>
          <w:sz w:val="20"/>
          <w:szCs w:val="20"/>
          <w:lang w:eastAsia="en-CA"/>
        </w:rPr>
      </w:pPr>
    </w:p>
    <w:p w14:paraId="60DC5313" w14:textId="7F6BD850" w:rsidR="00E25F12" w:rsidRDefault="00E25F12" w:rsidP="003F4E63">
      <w:pPr>
        <w:rPr>
          <w:rFonts w:ascii="Arial" w:eastAsia="Times New Roman" w:hAnsi="Arial" w:cs="Arial"/>
          <w:color w:val="231F20"/>
          <w:sz w:val="20"/>
          <w:szCs w:val="20"/>
          <w:lang w:eastAsia="en-CA"/>
        </w:rPr>
      </w:pPr>
    </w:p>
    <w:p w14:paraId="67568227" w14:textId="7CCBED34" w:rsidR="00E25F12" w:rsidRDefault="00E25F12" w:rsidP="003F4E63">
      <w:pPr>
        <w:rPr>
          <w:rFonts w:ascii="Arial" w:eastAsia="Times New Roman" w:hAnsi="Arial" w:cs="Arial"/>
          <w:color w:val="231F20"/>
          <w:sz w:val="20"/>
          <w:szCs w:val="20"/>
          <w:lang w:eastAsia="en-CA"/>
        </w:rPr>
      </w:pPr>
    </w:p>
    <w:p w14:paraId="3657D855" w14:textId="6312F2D8" w:rsidR="00E25F12" w:rsidRDefault="00E25F12" w:rsidP="003F4E63">
      <w:pPr>
        <w:rPr>
          <w:rFonts w:ascii="Arial" w:eastAsia="Times New Roman" w:hAnsi="Arial" w:cs="Arial"/>
          <w:color w:val="231F20"/>
          <w:sz w:val="20"/>
          <w:szCs w:val="20"/>
          <w:lang w:eastAsia="en-CA"/>
        </w:rPr>
      </w:pPr>
    </w:p>
    <w:p w14:paraId="68FB2A9F" w14:textId="069F1405" w:rsidR="00E25F12" w:rsidRDefault="00E25F12" w:rsidP="003F4E63">
      <w:pPr>
        <w:rPr>
          <w:rFonts w:ascii="Arial" w:eastAsia="Times New Roman" w:hAnsi="Arial" w:cs="Arial"/>
          <w:color w:val="231F20"/>
          <w:sz w:val="20"/>
          <w:szCs w:val="20"/>
          <w:lang w:eastAsia="en-CA"/>
        </w:rPr>
      </w:pPr>
    </w:p>
    <w:p w14:paraId="1FCFB9C4" w14:textId="7F1665A6" w:rsidR="00E25F12" w:rsidRDefault="00E25F12" w:rsidP="003F4E63">
      <w:pPr>
        <w:rPr>
          <w:rFonts w:ascii="Arial" w:eastAsia="Times New Roman" w:hAnsi="Arial" w:cs="Arial"/>
          <w:color w:val="231F20"/>
          <w:sz w:val="20"/>
          <w:szCs w:val="20"/>
          <w:lang w:eastAsia="en-CA"/>
        </w:rPr>
      </w:pPr>
    </w:p>
    <w:p w14:paraId="19467C28" w14:textId="4015BEE8" w:rsidR="00E25F12" w:rsidRDefault="00E25F12" w:rsidP="003F4E63">
      <w:pPr>
        <w:rPr>
          <w:rFonts w:ascii="Arial" w:eastAsia="Times New Roman" w:hAnsi="Arial" w:cs="Arial"/>
          <w:color w:val="231F20"/>
          <w:sz w:val="20"/>
          <w:szCs w:val="20"/>
          <w:lang w:eastAsia="en-CA"/>
        </w:rPr>
      </w:pPr>
    </w:p>
    <w:p w14:paraId="1D49A2D9" w14:textId="2CF92D22" w:rsidR="00E25F12" w:rsidRDefault="00E25F12" w:rsidP="003F4E63">
      <w:pPr>
        <w:rPr>
          <w:rFonts w:ascii="Arial" w:eastAsia="Times New Roman" w:hAnsi="Arial" w:cs="Arial"/>
          <w:color w:val="231F20"/>
          <w:sz w:val="20"/>
          <w:szCs w:val="20"/>
          <w:lang w:eastAsia="en-CA"/>
        </w:rPr>
      </w:pPr>
    </w:p>
    <w:p w14:paraId="6E454412" w14:textId="725154C1" w:rsidR="00E25F12" w:rsidRDefault="00E25F12" w:rsidP="003F4E63">
      <w:pPr>
        <w:rPr>
          <w:rFonts w:ascii="Arial" w:eastAsia="Times New Roman" w:hAnsi="Arial" w:cs="Arial"/>
          <w:color w:val="231F20"/>
          <w:sz w:val="20"/>
          <w:szCs w:val="20"/>
          <w:lang w:eastAsia="en-CA"/>
        </w:rPr>
      </w:pPr>
    </w:p>
    <w:p w14:paraId="352D77CF" w14:textId="2C5A183E" w:rsidR="00E25F12" w:rsidRDefault="00E25F12" w:rsidP="003F4E63">
      <w:pPr>
        <w:rPr>
          <w:rFonts w:ascii="Arial" w:eastAsia="Times New Roman" w:hAnsi="Arial" w:cs="Arial"/>
          <w:color w:val="231F20"/>
          <w:sz w:val="20"/>
          <w:szCs w:val="20"/>
          <w:lang w:eastAsia="en-CA"/>
        </w:rPr>
      </w:pPr>
    </w:p>
    <w:p w14:paraId="1760C669" w14:textId="1B913CC1" w:rsidR="00E25F12" w:rsidRDefault="00E25F12" w:rsidP="003F4E63">
      <w:pPr>
        <w:rPr>
          <w:rFonts w:ascii="Arial" w:eastAsia="Times New Roman" w:hAnsi="Arial" w:cs="Arial"/>
          <w:color w:val="231F20"/>
          <w:sz w:val="20"/>
          <w:szCs w:val="20"/>
          <w:lang w:eastAsia="en-CA"/>
        </w:rPr>
      </w:pPr>
    </w:p>
    <w:p w14:paraId="2DD48BCF" w14:textId="4E0459EB" w:rsidR="00E25F12" w:rsidRDefault="00E25F12" w:rsidP="003F4E63">
      <w:pPr>
        <w:rPr>
          <w:rFonts w:ascii="Arial" w:eastAsia="Times New Roman" w:hAnsi="Arial" w:cs="Arial"/>
          <w:color w:val="231F20"/>
          <w:sz w:val="20"/>
          <w:szCs w:val="20"/>
          <w:lang w:eastAsia="en-CA"/>
        </w:rPr>
      </w:pPr>
    </w:p>
    <w:p w14:paraId="17FA5E6C" w14:textId="7B0504BC" w:rsidR="00E25F12" w:rsidRDefault="00E25F12" w:rsidP="003F4E63">
      <w:pPr>
        <w:rPr>
          <w:rFonts w:ascii="Arial" w:eastAsia="Times New Roman" w:hAnsi="Arial" w:cs="Arial"/>
          <w:color w:val="231F20"/>
          <w:sz w:val="20"/>
          <w:szCs w:val="20"/>
          <w:lang w:eastAsia="en-CA"/>
        </w:rPr>
      </w:pPr>
    </w:p>
    <w:p w14:paraId="0A93A6A6" w14:textId="5D6CD5A4" w:rsidR="00E25F12" w:rsidRDefault="00E25F12" w:rsidP="003F4E63">
      <w:pPr>
        <w:rPr>
          <w:rFonts w:ascii="Arial" w:eastAsia="Times New Roman" w:hAnsi="Arial" w:cs="Arial"/>
          <w:color w:val="231F20"/>
          <w:sz w:val="20"/>
          <w:szCs w:val="20"/>
          <w:lang w:eastAsia="en-CA"/>
        </w:rPr>
      </w:pPr>
    </w:p>
    <w:p w14:paraId="334CDC48" w14:textId="26AB789F" w:rsidR="00E25F12" w:rsidRDefault="00E25F12" w:rsidP="003F4E63">
      <w:pPr>
        <w:rPr>
          <w:rFonts w:ascii="Arial" w:eastAsia="Times New Roman" w:hAnsi="Arial" w:cs="Arial"/>
          <w:color w:val="231F20"/>
          <w:sz w:val="20"/>
          <w:szCs w:val="20"/>
          <w:lang w:eastAsia="en-CA"/>
        </w:rPr>
      </w:pPr>
    </w:p>
    <w:p w14:paraId="1B3F23A9" w14:textId="6047D133" w:rsidR="00E25F12" w:rsidRDefault="00E25F12" w:rsidP="003F4E63">
      <w:pPr>
        <w:rPr>
          <w:rFonts w:ascii="Arial" w:eastAsia="Times New Roman" w:hAnsi="Arial" w:cs="Arial"/>
          <w:color w:val="231F20"/>
          <w:sz w:val="20"/>
          <w:szCs w:val="20"/>
          <w:lang w:eastAsia="en-CA"/>
        </w:rPr>
      </w:pPr>
    </w:p>
    <w:p w14:paraId="3E318451" w14:textId="0CADFBC2" w:rsidR="00E25F12" w:rsidRDefault="00E25F12" w:rsidP="003F4E63">
      <w:pPr>
        <w:rPr>
          <w:rFonts w:ascii="Arial" w:eastAsia="Times New Roman" w:hAnsi="Arial" w:cs="Arial"/>
          <w:color w:val="231F20"/>
          <w:sz w:val="20"/>
          <w:szCs w:val="20"/>
          <w:lang w:eastAsia="en-CA"/>
        </w:rPr>
      </w:pPr>
    </w:p>
    <w:p w14:paraId="099FFD46" w14:textId="59C417F5" w:rsidR="00E25F12" w:rsidRDefault="00E25F12" w:rsidP="003F4E63">
      <w:pPr>
        <w:rPr>
          <w:rFonts w:ascii="Arial" w:eastAsia="Times New Roman" w:hAnsi="Arial" w:cs="Arial"/>
          <w:color w:val="231F20"/>
          <w:sz w:val="20"/>
          <w:szCs w:val="20"/>
          <w:lang w:eastAsia="en-CA"/>
        </w:rPr>
      </w:pPr>
    </w:p>
    <w:p w14:paraId="52D7EE51" w14:textId="40DE6AE0" w:rsidR="00E25F12" w:rsidRDefault="00E25F12" w:rsidP="003F4E63">
      <w:pPr>
        <w:rPr>
          <w:rFonts w:ascii="Arial" w:eastAsia="Times New Roman" w:hAnsi="Arial" w:cs="Arial"/>
          <w:color w:val="231F20"/>
          <w:sz w:val="20"/>
          <w:szCs w:val="20"/>
          <w:lang w:eastAsia="en-CA"/>
        </w:rPr>
      </w:pPr>
    </w:p>
    <w:p w14:paraId="376D5570" w14:textId="483C0143" w:rsidR="00E25F12" w:rsidRDefault="00E25F12" w:rsidP="003F4E63">
      <w:pPr>
        <w:rPr>
          <w:rFonts w:ascii="Arial" w:eastAsia="Times New Roman" w:hAnsi="Arial" w:cs="Arial"/>
          <w:color w:val="231F20"/>
          <w:sz w:val="20"/>
          <w:szCs w:val="20"/>
          <w:lang w:eastAsia="en-CA"/>
        </w:rPr>
      </w:pPr>
    </w:p>
    <w:p w14:paraId="46D3EC8C" w14:textId="77777777" w:rsidR="008314A1" w:rsidRDefault="008314A1" w:rsidP="003F4E63">
      <w:pPr>
        <w:rPr>
          <w:rFonts w:ascii="Arial" w:eastAsia="Times New Roman" w:hAnsi="Arial" w:cs="Arial"/>
          <w:color w:val="231F20"/>
          <w:sz w:val="20"/>
          <w:szCs w:val="20"/>
          <w:lang w:eastAsia="en-CA"/>
        </w:rPr>
      </w:pPr>
    </w:p>
    <w:p w14:paraId="00E5F69A" w14:textId="1E8271D0" w:rsidR="00E25F12" w:rsidRDefault="00E25F12" w:rsidP="003F4E63">
      <w:pPr>
        <w:rPr>
          <w:rFonts w:ascii="Arial" w:eastAsia="Times New Roman" w:hAnsi="Arial" w:cs="Arial"/>
          <w:color w:val="231F20"/>
          <w:sz w:val="20"/>
          <w:szCs w:val="20"/>
          <w:lang w:eastAsia="en-CA"/>
        </w:rPr>
      </w:pPr>
    </w:p>
    <w:p w14:paraId="0D55061E" w14:textId="77777777" w:rsidR="00B77856" w:rsidRDefault="00B77856" w:rsidP="003F4E63">
      <w:pPr>
        <w:rPr>
          <w:rFonts w:ascii="Arial" w:eastAsia="Times New Roman" w:hAnsi="Arial" w:cs="Arial"/>
          <w:color w:val="231F20"/>
          <w:sz w:val="20"/>
          <w:szCs w:val="20"/>
          <w:lang w:eastAsia="en-CA"/>
        </w:rPr>
      </w:pPr>
    </w:p>
    <w:p w14:paraId="49EF87A2" w14:textId="0533388B" w:rsidR="00E25F12" w:rsidRDefault="00E25F12" w:rsidP="003F4E63">
      <w:pPr>
        <w:rPr>
          <w:rFonts w:ascii="Arial" w:eastAsia="Times New Roman" w:hAnsi="Arial" w:cs="Arial"/>
          <w:color w:val="231F20"/>
          <w:sz w:val="20"/>
          <w:szCs w:val="20"/>
          <w:lang w:eastAsia="en-CA"/>
        </w:rPr>
      </w:pPr>
    </w:p>
    <w:p w14:paraId="190CF0D5" w14:textId="207FE808" w:rsidR="00E25F12" w:rsidRDefault="00E25F12" w:rsidP="003F4E63">
      <w:pPr>
        <w:rPr>
          <w:rFonts w:ascii="Arial" w:eastAsia="Times New Roman" w:hAnsi="Arial" w:cs="Arial"/>
          <w:color w:val="231F20"/>
          <w:sz w:val="20"/>
          <w:szCs w:val="20"/>
          <w:lang w:eastAsia="en-CA"/>
        </w:rPr>
      </w:pPr>
    </w:p>
    <w:p w14:paraId="65F54DC6" w14:textId="0EB5A117" w:rsidR="00E25F12" w:rsidRDefault="00E25F12" w:rsidP="003F4E63">
      <w:pPr>
        <w:rPr>
          <w:rFonts w:ascii="Arial" w:eastAsia="Times New Roman" w:hAnsi="Arial" w:cs="Arial"/>
          <w:color w:val="231F20"/>
          <w:sz w:val="20"/>
          <w:szCs w:val="20"/>
          <w:lang w:eastAsia="en-CA"/>
        </w:rPr>
      </w:pPr>
    </w:p>
    <w:p w14:paraId="4A7DBD6C" w14:textId="54D8B598" w:rsidR="00E25F12" w:rsidRDefault="00E25F12" w:rsidP="003F4E63">
      <w:pPr>
        <w:rPr>
          <w:rFonts w:ascii="Arial" w:eastAsia="Times New Roman" w:hAnsi="Arial" w:cs="Arial"/>
          <w:color w:val="231F20"/>
          <w:sz w:val="20"/>
          <w:szCs w:val="20"/>
          <w:lang w:eastAsia="en-CA"/>
        </w:rPr>
      </w:pPr>
    </w:p>
    <w:p w14:paraId="2EE0C084" w14:textId="77777777" w:rsidR="000B4861" w:rsidRDefault="000B4861" w:rsidP="003F4E63">
      <w:pPr>
        <w:rPr>
          <w:rFonts w:ascii="Arial" w:eastAsia="Times New Roman" w:hAnsi="Arial" w:cs="Arial"/>
          <w:color w:val="231F20"/>
          <w:sz w:val="20"/>
          <w:szCs w:val="20"/>
          <w:lang w:eastAsia="en-CA"/>
        </w:rPr>
      </w:pPr>
    </w:p>
    <w:tbl>
      <w:tblPr>
        <w:tblStyle w:val="TableGrid"/>
        <w:tblW w:w="0" w:type="auto"/>
        <w:tblLook w:val="04A0" w:firstRow="1" w:lastRow="0" w:firstColumn="1" w:lastColumn="0" w:noHBand="0" w:noVBand="1"/>
      </w:tblPr>
      <w:tblGrid>
        <w:gridCol w:w="5548"/>
        <w:gridCol w:w="5548"/>
      </w:tblGrid>
      <w:tr w:rsidR="00E25F12" w14:paraId="307726B8" w14:textId="77777777" w:rsidTr="00D06A12">
        <w:tc>
          <w:tcPr>
            <w:tcW w:w="5548" w:type="dxa"/>
            <w:tcBorders>
              <w:top w:val="nil"/>
              <w:left w:val="nil"/>
              <w:bottom w:val="nil"/>
              <w:right w:val="single" w:sz="4" w:space="0" w:color="auto"/>
            </w:tcBorders>
          </w:tcPr>
          <w:p w14:paraId="3E3AA509" w14:textId="77777777" w:rsidR="00240993" w:rsidRDefault="00240993" w:rsidP="00E25F12">
            <w:pPr>
              <w:rPr>
                <w:rFonts w:ascii="Arial" w:eastAsia="Times New Roman" w:hAnsi="Arial" w:cs="Arial"/>
                <w:b/>
                <w:bCs/>
                <w:color w:val="231F20"/>
                <w:sz w:val="20"/>
                <w:szCs w:val="20"/>
                <w:lang w:eastAsia="en-CA"/>
              </w:rPr>
            </w:pPr>
          </w:p>
          <w:p w14:paraId="6D5BDF96" w14:textId="0A21655F" w:rsidR="00E25F12" w:rsidRPr="00E25F12" w:rsidRDefault="00E25F12" w:rsidP="00E25F12">
            <w:pPr>
              <w:rPr>
                <w:rFonts w:ascii="Arial" w:eastAsia="Times New Roman" w:hAnsi="Arial" w:cs="Arial"/>
                <w:sz w:val="20"/>
                <w:szCs w:val="20"/>
                <w:lang w:eastAsia="en-CA"/>
              </w:rPr>
            </w:pPr>
            <w:r w:rsidRPr="00E25F12">
              <w:rPr>
                <w:rFonts w:ascii="Arial" w:eastAsia="Times New Roman" w:hAnsi="Arial" w:cs="Arial"/>
                <w:b/>
                <w:bCs/>
                <w:color w:val="231F20"/>
                <w:sz w:val="20"/>
                <w:szCs w:val="20"/>
                <w:lang w:eastAsia="en-CA"/>
              </w:rPr>
              <w:t>Generated By </w:t>
            </w:r>
          </w:p>
          <w:p w14:paraId="01B1D133" w14:textId="3C9B8859" w:rsidR="00E25F12" w:rsidRPr="00E25F12" w:rsidRDefault="000471D5" w:rsidP="00E25F12">
            <w:pPr>
              <w:pStyle w:val="NormalWeb"/>
              <w:spacing w:before="0" w:beforeAutospacing="0" w:after="0" w:afterAutospacing="0"/>
              <w:rPr>
                <w:rFonts w:ascii="Arial" w:hAnsi="Arial" w:cs="Arial"/>
                <w:i/>
                <w:iCs/>
                <w:sz w:val="20"/>
                <w:szCs w:val="20"/>
              </w:rPr>
            </w:pPr>
            <w:r>
              <w:rPr>
                <w:rFonts w:ascii="Arial" w:hAnsi="Arial" w:cs="Arial"/>
                <w:color w:val="000000"/>
                <w:sz w:val="20"/>
                <w:szCs w:val="20"/>
              </w:rPr>
              <w:t>Alden Eakins</w:t>
            </w:r>
            <w:r w:rsidR="00E25F12" w:rsidRPr="00E25F12">
              <w:rPr>
                <w:rFonts w:ascii="Arial" w:hAnsi="Arial" w:cs="Arial"/>
                <w:i/>
                <w:iCs/>
                <w:color w:val="000000"/>
                <w:sz w:val="20"/>
                <w:szCs w:val="20"/>
              </w:rPr>
              <w:t xml:space="preserve"> – </w:t>
            </w:r>
            <w:r w:rsidR="000B4861">
              <w:rPr>
                <w:rFonts w:ascii="Arial" w:hAnsi="Arial" w:cs="Arial"/>
                <w:i/>
                <w:iCs/>
                <w:color w:val="000000"/>
                <w:sz w:val="20"/>
                <w:szCs w:val="20"/>
              </w:rPr>
              <w:t xml:space="preserve">Student </w:t>
            </w:r>
            <w:r w:rsidR="00A45883">
              <w:rPr>
                <w:rFonts w:ascii="Arial" w:hAnsi="Arial" w:cs="Arial"/>
                <w:i/>
                <w:iCs/>
                <w:color w:val="000000"/>
                <w:sz w:val="20"/>
                <w:szCs w:val="20"/>
              </w:rPr>
              <w:t>Director</w:t>
            </w:r>
          </w:p>
          <w:p w14:paraId="1DB33DF6" w14:textId="6EB8FACC" w:rsidR="00E25F12" w:rsidRPr="00E25F12" w:rsidRDefault="000471D5" w:rsidP="00E25F12">
            <w:pPr>
              <w:pStyle w:val="NormalWeb"/>
              <w:spacing w:before="0" w:beforeAutospacing="0" w:after="0" w:afterAutospacing="0"/>
              <w:rPr>
                <w:rFonts w:ascii="Arial" w:hAnsi="Arial" w:cs="Arial"/>
                <w:i/>
                <w:iCs/>
                <w:sz w:val="20"/>
                <w:szCs w:val="20"/>
              </w:rPr>
            </w:pPr>
            <w:r>
              <w:rPr>
                <w:rFonts w:ascii="Arial" w:hAnsi="Arial" w:cs="Arial"/>
                <w:color w:val="000000"/>
                <w:sz w:val="20"/>
                <w:szCs w:val="20"/>
              </w:rPr>
              <w:t>Jordan Tepper</w:t>
            </w:r>
            <w:r w:rsidR="00E25F12" w:rsidRPr="00E25F12">
              <w:rPr>
                <w:rFonts w:ascii="Arial" w:hAnsi="Arial" w:cs="Arial"/>
                <w:i/>
                <w:iCs/>
                <w:color w:val="000000"/>
                <w:sz w:val="20"/>
                <w:szCs w:val="20"/>
              </w:rPr>
              <w:t xml:space="preserve"> – </w:t>
            </w:r>
            <w:r w:rsidR="000B4861">
              <w:rPr>
                <w:rFonts w:ascii="Arial" w:hAnsi="Arial" w:cs="Arial"/>
                <w:i/>
                <w:iCs/>
                <w:color w:val="000000"/>
                <w:sz w:val="20"/>
                <w:szCs w:val="20"/>
              </w:rPr>
              <w:t>Team Leader</w:t>
            </w:r>
          </w:p>
          <w:p w14:paraId="005CD533" w14:textId="3DF5013F" w:rsidR="00E25F12" w:rsidRPr="00E25F12" w:rsidRDefault="00240993" w:rsidP="00E25F12">
            <w:pPr>
              <w:pStyle w:val="NormalWeb"/>
              <w:spacing w:before="0" w:beforeAutospacing="0" w:after="0" w:afterAutospacing="0"/>
              <w:rPr>
                <w:rFonts w:ascii="Arial" w:hAnsi="Arial" w:cs="Arial"/>
                <w:i/>
                <w:iCs/>
                <w:sz w:val="20"/>
                <w:szCs w:val="20"/>
              </w:rPr>
            </w:pPr>
            <w:r>
              <w:rPr>
                <w:rFonts w:ascii="Arial" w:hAnsi="Arial" w:cs="Arial"/>
                <w:color w:val="000000"/>
                <w:sz w:val="20"/>
                <w:szCs w:val="20"/>
              </w:rPr>
              <w:t xml:space="preserve">Sarah </w:t>
            </w:r>
            <w:proofErr w:type="spellStart"/>
            <w:r>
              <w:rPr>
                <w:rFonts w:ascii="Arial" w:hAnsi="Arial" w:cs="Arial"/>
                <w:color w:val="000000"/>
                <w:sz w:val="20"/>
                <w:szCs w:val="20"/>
              </w:rPr>
              <w:t>Kabani</w:t>
            </w:r>
            <w:proofErr w:type="spellEnd"/>
            <w:r w:rsidR="00E25F12" w:rsidRPr="00E25F12">
              <w:rPr>
                <w:rFonts w:ascii="Arial" w:hAnsi="Arial" w:cs="Arial"/>
                <w:i/>
                <w:iCs/>
                <w:color w:val="000000"/>
                <w:sz w:val="20"/>
                <w:szCs w:val="20"/>
              </w:rPr>
              <w:t xml:space="preserve"> – Research Analyst</w:t>
            </w:r>
          </w:p>
          <w:p w14:paraId="046BACF2" w14:textId="075CD737" w:rsidR="00E25F12" w:rsidRPr="00E25F12" w:rsidRDefault="00240993" w:rsidP="00E25F12">
            <w:pPr>
              <w:pStyle w:val="NormalWeb"/>
              <w:spacing w:before="0" w:beforeAutospacing="0" w:after="0" w:afterAutospacing="0"/>
              <w:rPr>
                <w:rFonts w:ascii="Arial" w:hAnsi="Arial" w:cs="Arial"/>
                <w:i/>
                <w:iCs/>
                <w:sz w:val="20"/>
                <w:szCs w:val="20"/>
              </w:rPr>
            </w:pPr>
            <w:proofErr w:type="spellStart"/>
            <w:r>
              <w:rPr>
                <w:rFonts w:ascii="Arial" w:hAnsi="Arial" w:cs="Arial"/>
                <w:color w:val="000000"/>
                <w:sz w:val="20"/>
                <w:szCs w:val="20"/>
              </w:rPr>
              <w:t>Jehan</w:t>
            </w:r>
            <w:proofErr w:type="spellEnd"/>
            <w:r>
              <w:rPr>
                <w:rFonts w:ascii="Arial" w:hAnsi="Arial" w:cs="Arial"/>
                <w:color w:val="000000"/>
                <w:sz w:val="20"/>
                <w:szCs w:val="20"/>
              </w:rPr>
              <w:t xml:space="preserve"> Mohammed</w:t>
            </w:r>
            <w:r w:rsidR="00E25F12" w:rsidRPr="00E25F12">
              <w:rPr>
                <w:rFonts w:ascii="Arial" w:hAnsi="Arial" w:cs="Arial"/>
                <w:i/>
                <w:iCs/>
                <w:color w:val="000000"/>
                <w:sz w:val="20"/>
                <w:szCs w:val="20"/>
              </w:rPr>
              <w:t xml:space="preserve"> – Research Analyst</w:t>
            </w:r>
          </w:p>
          <w:p w14:paraId="31D661DC" w14:textId="7031D692" w:rsidR="00E25F12" w:rsidRPr="00E25F12" w:rsidRDefault="00240993" w:rsidP="00E25F12">
            <w:pPr>
              <w:pStyle w:val="NormalWeb"/>
              <w:spacing w:before="0" w:beforeAutospacing="0" w:after="0" w:afterAutospacing="0"/>
              <w:rPr>
                <w:rFonts w:ascii="Arial" w:hAnsi="Arial" w:cs="Arial"/>
                <w:i/>
                <w:iCs/>
                <w:sz w:val="20"/>
                <w:szCs w:val="20"/>
              </w:rPr>
            </w:pPr>
            <w:r>
              <w:rPr>
                <w:rFonts w:ascii="Arial" w:hAnsi="Arial" w:cs="Arial"/>
                <w:color w:val="000000"/>
                <w:sz w:val="20"/>
                <w:szCs w:val="20"/>
              </w:rPr>
              <w:t>Katie Campbell</w:t>
            </w:r>
            <w:r w:rsidR="00E25F12" w:rsidRPr="00E25F12">
              <w:rPr>
                <w:rFonts w:ascii="Arial" w:hAnsi="Arial" w:cs="Arial"/>
                <w:i/>
                <w:iCs/>
                <w:color w:val="000000"/>
                <w:sz w:val="20"/>
                <w:szCs w:val="20"/>
              </w:rPr>
              <w:t xml:space="preserve"> – Research Analyst</w:t>
            </w:r>
          </w:p>
          <w:p w14:paraId="087501A3" w14:textId="4E05EC8C" w:rsidR="00E25F12" w:rsidRDefault="00240993" w:rsidP="00E25F12">
            <w:pPr>
              <w:pStyle w:val="NormalWeb"/>
              <w:spacing w:before="0" w:beforeAutospacing="0" w:after="0" w:afterAutospacing="0"/>
              <w:rPr>
                <w:rFonts w:ascii="Arial" w:hAnsi="Arial" w:cs="Arial"/>
                <w:i/>
                <w:iCs/>
                <w:color w:val="000000"/>
                <w:sz w:val="20"/>
                <w:szCs w:val="20"/>
              </w:rPr>
            </w:pPr>
            <w:r>
              <w:rPr>
                <w:rFonts w:ascii="Arial" w:hAnsi="Arial" w:cs="Arial"/>
                <w:color w:val="000000"/>
                <w:sz w:val="20"/>
                <w:szCs w:val="20"/>
              </w:rPr>
              <w:t>Andrei Chen</w:t>
            </w:r>
            <w:r w:rsidR="00E25F12" w:rsidRPr="00E25F12">
              <w:rPr>
                <w:rFonts w:ascii="Arial" w:hAnsi="Arial" w:cs="Arial"/>
                <w:i/>
                <w:iCs/>
                <w:color w:val="000000"/>
                <w:sz w:val="20"/>
                <w:szCs w:val="20"/>
              </w:rPr>
              <w:t xml:space="preserve"> – Research Analyst</w:t>
            </w:r>
          </w:p>
          <w:p w14:paraId="3FCABE9E" w14:textId="5EC96FB3" w:rsidR="00EB1186" w:rsidRPr="00E25F12" w:rsidRDefault="00240993" w:rsidP="00240993">
            <w:pPr>
              <w:pStyle w:val="NormalWeb"/>
              <w:spacing w:before="0" w:beforeAutospacing="0" w:after="0" w:afterAutospacing="0"/>
              <w:rPr>
                <w:rFonts w:ascii="Arial" w:hAnsi="Arial" w:cs="Arial"/>
                <w:i/>
                <w:iCs/>
                <w:sz w:val="20"/>
                <w:szCs w:val="20"/>
              </w:rPr>
            </w:pPr>
            <w:proofErr w:type="spellStart"/>
            <w:r>
              <w:rPr>
                <w:rFonts w:ascii="Arial" w:hAnsi="Arial" w:cs="Arial"/>
                <w:color w:val="000000"/>
                <w:sz w:val="20"/>
                <w:szCs w:val="20"/>
              </w:rPr>
              <w:t>Noha</w:t>
            </w:r>
            <w:proofErr w:type="spellEnd"/>
            <w:r>
              <w:rPr>
                <w:rFonts w:ascii="Arial" w:hAnsi="Arial" w:cs="Arial"/>
                <w:color w:val="000000"/>
                <w:sz w:val="20"/>
                <w:szCs w:val="20"/>
              </w:rPr>
              <w:t xml:space="preserve"> </w:t>
            </w:r>
            <w:proofErr w:type="spellStart"/>
            <w:r>
              <w:rPr>
                <w:rFonts w:ascii="Arial" w:hAnsi="Arial" w:cs="Arial"/>
                <w:color w:val="000000"/>
                <w:sz w:val="20"/>
                <w:szCs w:val="20"/>
              </w:rPr>
              <w:t>Shaalan</w:t>
            </w:r>
            <w:proofErr w:type="spellEnd"/>
            <w:r w:rsidR="00EB1186" w:rsidRPr="00E25F12">
              <w:rPr>
                <w:rFonts w:ascii="Arial" w:hAnsi="Arial" w:cs="Arial"/>
                <w:i/>
                <w:iCs/>
                <w:color w:val="000000"/>
                <w:sz w:val="20"/>
                <w:szCs w:val="20"/>
              </w:rPr>
              <w:t xml:space="preserve"> – Research Analyst</w:t>
            </w:r>
          </w:p>
          <w:p w14:paraId="6EE1C392" w14:textId="66189F37" w:rsidR="00E25F12" w:rsidRPr="00E25F12" w:rsidRDefault="00E25F12" w:rsidP="00E25F12">
            <w:pPr>
              <w:pStyle w:val="NormalWeb"/>
              <w:spacing w:before="0" w:beforeAutospacing="0" w:after="0" w:afterAutospacing="0"/>
              <w:rPr>
                <w:rFonts w:ascii="Arial" w:hAnsi="Arial" w:cs="Arial"/>
                <w:i/>
                <w:iCs/>
                <w:color w:val="000000"/>
                <w:sz w:val="20"/>
                <w:szCs w:val="20"/>
              </w:rPr>
            </w:pPr>
          </w:p>
          <w:p w14:paraId="67EEBBE0" w14:textId="5FE80A6B" w:rsidR="00E25F12" w:rsidRPr="00E25F12" w:rsidRDefault="00E25F12" w:rsidP="00E25F12">
            <w:pPr>
              <w:pStyle w:val="NormalWeb"/>
              <w:spacing w:before="0" w:beforeAutospacing="0" w:after="0" w:afterAutospacing="0"/>
              <w:rPr>
                <w:rFonts w:ascii="Arial" w:hAnsi="Arial" w:cs="Arial"/>
                <w:b/>
                <w:bCs/>
                <w:sz w:val="20"/>
                <w:szCs w:val="20"/>
              </w:rPr>
            </w:pPr>
            <w:r w:rsidRPr="00E25F12">
              <w:rPr>
                <w:rFonts w:ascii="Arial" w:hAnsi="Arial" w:cs="Arial"/>
                <w:b/>
                <w:bCs/>
                <w:sz w:val="20"/>
                <w:szCs w:val="20"/>
              </w:rPr>
              <w:t>Democracy Lab Faculty Director</w:t>
            </w:r>
          </w:p>
          <w:p w14:paraId="297E858A" w14:textId="77777777" w:rsidR="00E25F12" w:rsidRPr="00E25F12" w:rsidRDefault="00E25F12" w:rsidP="00E25F12">
            <w:pPr>
              <w:pStyle w:val="NormalWeb"/>
              <w:spacing w:before="0" w:beforeAutospacing="0" w:after="0" w:afterAutospacing="0"/>
              <w:rPr>
                <w:rFonts w:ascii="Arial" w:hAnsi="Arial" w:cs="Arial"/>
                <w:sz w:val="20"/>
                <w:szCs w:val="20"/>
              </w:rPr>
            </w:pPr>
            <w:r w:rsidRPr="00E25F12">
              <w:rPr>
                <w:rFonts w:ascii="Arial" w:hAnsi="Arial" w:cs="Arial"/>
                <w:color w:val="000000"/>
                <w:sz w:val="20"/>
                <w:szCs w:val="20"/>
              </w:rPr>
              <w:t>Dr. Cristine de Clercy</w:t>
            </w:r>
          </w:p>
          <w:p w14:paraId="75D5C5B6" w14:textId="77777777" w:rsidR="00E25F12" w:rsidRPr="00E25F12" w:rsidRDefault="00E25F12" w:rsidP="00E25F12">
            <w:pPr>
              <w:pStyle w:val="NormalWeb"/>
              <w:spacing w:before="0" w:beforeAutospacing="0" w:after="0" w:afterAutospacing="0"/>
              <w:rPr>
                <w:rFonts w:ascii="Arial" w:hAnsi="Arial" w:cs="Arial"/>
                <w:sz w:val="20"/>
                <w:szCs w:val="20"/>
              </w:rPr>
            </w:pPr>
            <w:r w:rsidRPr="00E25F12">
              <w:rPr>
                <w:rFonts w:ascii="Arial" w:hAnsi="Arial" w:cs="Arial"/>
                <w:color w:val="000000"/>
                <w:sz w:val="20"/>
                <w:szCs w:val="20"/>
              </w:rPr>
              <w:t>Martin Eidenberg</w:t>
            </w:r>
          </w:p>
          <w:p w14:paraId="250EDB5E" w14:textId="46026F8D" w:rsidR="00E25F12" w:rsidRPr="00E25F12" w:rsidRDefault="00E25F12" w:rsidP="00E25F12">
            <w:pPr>
              <w:pStyle w:val="NormalWeb"/>
              <w:spacing w:before="0" w:beforeAutospacing="0" w:after="0" w:afterAutospacing="0"/>
              <w:rPr>
                <w:rFonts w:ascii="Arial" w:hAnsi="Arial" w:cs="Arial"/>
                <w:color w:val="000000"/>
                <w:sz w:val="20"/>
                <w:szCs w:val="20"/>
              </w:rPr>
            </w:pPr>
            <w:r w:rsidRPr="00E25F12">
              <w:rPr>
                <w:rFonts w:ascii="Arial" w:hAnsi="Arial" w:cs="Arial"/>
                <w:color w:val="000000"/>
                <w:sz w:val="20"/>
                <w:szCs w:val="20"/>
              </w:rPr>
              <w:t>Dr. Peter Ferguson</w:t>
            </w:r>
          </w:p>
          <w:p w14:paraId="667E5C39" w14:textId="18A4D50B" w:rsidR="00E25F12" w:rsidRPr="00E25F12" w:rsidRDefault="00E25F12" w:rsidP="00E25F12">
            <w:pPr>
              <w:pStyle w:val="NormalWeb"/>
              <w:spacing w:before="0" w:beforeAutospacing="0" w:after="0" w:afterAutospacing="0"/>
              <w:rPr>
                <w:rFonts w:ascii="Arial" w:hAnsi="Arial" w:cs="Arial"/>
                <w:color w:val="000000"/>
                <w:sz w:val="20"/>
                <w:szCs w:val="20"/>
              </w:rPr>
            </w:pPr>
          </w:p>
          <w:p w14:paraId="281CC837" w14:textId="607660E0" w:rsidR="00E25F12" w:rsidRPr="00E25F12" w:rsidRDefault="00E25F12" w:rsidP="00E25F12">
            <w:pPr>
              <w:pStyle w:val="NormalWeb"/>
              <w:spacing w:before="0" w:beforeAutospacing="0" w:after="0" w:afterAutospacing="0"/>
              <w:rPr>
                <w:rFonts w:ascii="Arial" w:hAnsi="Arial" w:cs="Arial"/>
                <w:sz w:val="20"/>
                <w:szCs w:val="20"/>
              </w:rPr>
            </w:pPr>
            <w:r w:rsidRPr="00E25F12">
              <w:rPr>
                <w:rFonts w:ascii="Arial" w:hAnsi="Arial" w:cs="Arial"/>
                <w:b/>
                <w:bCs/>
                <w:color w:val="000000"/>
                <w:sz w:val="20"/>
                <w:szCs w:val="20"/>
              </w:rPr>
              <w:t>Graphic Design</w:t>
            </w:r>
            <w:r w:rsidR="00D06A12">
              <w:rPr>
                <w:rFonts w:ascii="Arial" w:hAnsi="Arial" w:cs="Arial"/>
                <w:b/>
                <w:bCs/>
                <w:color w:val="000000"/>
                <w:sz w:val="20"/>
                <w:szCs w:val="20"/>
              </w:rPr>
              <w:t xml:space="preserve"> &amp; Report Layout</w:t>
            </w:r>
          </w:p>
          <w:p w14:paraId="4D7C2050" w14:textId="77777777" w:rsidR="00E25F12" w:rsidRDefault="00E25F12" w:rsidP="00E25F12">
            <w:pPr>
              <w:pStyle w:val="NormalWeb"/>
              <w:spacing w:before="0" w:beforeAutospacing="0" w:after="0" w:afterAutospacing="0"/>
              <w:rPr>
                <w:rFonts w:ascii="Arial" w:hAnsi="Arial" w:cs="Arial"/>
                <w:color w:val="000000"/>
                <w:sz w:val="20"/>
                <w:szCs w:val="20"/>
              </w:rPr>
            </w:pPr>
            <w:r w:rsidRPr="00E25F12">
              <w:rPr>
                <w:rFonts w:ascii="Arial" w:hAnsi="Arial" w:cs="Arial"/>
                <w:color w:val="000000"/>
                <w:sz w:val="20"/>
                <w:szCs w:val="20"/>
              </w:rPr>
              <w:t>Calvin Dong</w:t>
            </w:r>
          </w:p>
          <w:p w14:paraId="3372C137" w14:textId="1BC3FAC0" w:rsidR="000B4861" w:rsidRPr="00E25F12" w:rsidRDefault="000B4861" w:rsidP="00E25F12">
            <w:pPr>
              <w:pStyle w:val="NormalWeb"/>
              <w:spacing w:before="0" w:beforeAutospacing="0" w:after="0" w:afterAutospacing="0"/>
              <w:rPr>
                <w:rFonts w:ascii="Arial" w:hAnsi="Arial" w:cs="Arial"/>
                <w:sz w:val="20"/>
                <w:szCs w:val="20"/>
              </w:rPr>
            </w:pPr>
            <w:r>
              <w:rPr>
                <w:rFonts w:ascii="Arial" w:hAnsi="Arial" w:cs="Arial"/>
                <w:sz w:val="20"/>
                <w:szCs w:val="20"/>
              </w:rPr>
              <w:t>Alec Mazurek</w:t>
            </w:r>
          </w:p>
        </w:tc>
        <w:tc>
          <w:tcPr>
            <w:tcW w:w="5548" w:type="dxa"/>
            <w:tcBorders>
              <w:top w:val="nil"/>
              <w:left w:val="single" w:sz="4" w:space="0" w:color="auto"/>
              <w:bottom w:val="nil"/>
              <w:right w:val="nil"/>
            </w:tcBorders>
          </w:tcPr>
          <w:p w14:paraId="6DCDAAF2" w14:textId="77777777" w:rsidR="00E25F12" w:rsidRDefault="00E25F12" w:rsidP="00E25F12">
            <w:pPr>
              <w:jc w:val="right"/>
              <w:rPr>
                <w:rFonts w:ascii="Arial" w:eastAsia="Times New Roman" w:hAnsi="Arial" w:cs="Arial"/>
                <w:color w:val="231F20"/>
                <w:sz w:val="20"/>
                <w:szCs w:val="20"/>
                <w:lang w:eastAsia="en-CA"/>
              </w:rPr>
            </w:pPr>
          </w:p>
          <w:p w14:paraId="2E4247B3" w14:textId="77777777" w:rsidR="00E25F12" w:rsidRDefault="00E25F12" w:rsidP="00E25F12">
            <w:pPr>
              <w:jc w:val="right"/>
              <w:rPr>
                <w:rFonts w:ascii="Arial" w:eastAsia="Times New Roman" w:hAnsi="Arial" w:cs="Arial"/>
                <w:color w:val="231F20"/>
                <w:sz w:val="20"/>
                <w:szCs w:val="20"/>
                <w:lang w:eastAsia="en-CA"/>
              </w:rPr>
            </w:pPr>
          </w:p>
          <w:p w14:paraId="13CB45E3" w14:textId="77777777" w:rsidR="00E25F12" w:rsidRDefault="00E25F12" w:rsidP="00E25F12">
            <w:pPr>
              <w:jc w:val="right"/>
              <w:rPr>
                <w:rFonts w:ascii="Arial" w:eastAsia="Times New Roman" w:hAnsi="Arial" w:cs="Arial"/>
                <w:color w:val="231F20"/>
                <w:sz w:val="20"/>
                <w:szCs w:val="20"/>
                <w:lang w:eastAsia="en-CA"/>
              </w:rPr>
            </w:pPr>
          </w:p>
          <w:p w14:paraId="024232B3" w14:textId="77777777" w:rsidR="00E25F12" w:rsidRDefault="00E25F12" w:rsidP="00E25F12">
            <w:pPr>
              <w:jc w:val="right"/>
              <w:rPr>
                <w:rFonts w:ascii="Arial" w:eastAsia="Times New Roman" w:hAnsi="Arial" w:cs="Arial"/>
                <w:color w:val="231F20"/>
                <w:sz w:val="20"/>
                <w:szCs w:val="20"/>
                <w:lang w:eastAsia="en-CA"/>
              </w:rPr>
            </w:pPr>
          </w:p>
          <w:p w14:paraId="032634A6" w14:textId="67F8F915" w:rsidR="00E25F12" w:rsidRDefault="00E25F12" w:rsidP="00240993">
            <w:pPr>
              <w:rPr>
                <w:rFonts w:ascii="Arial" w:eastAsia="Times New Roman" w:hAnsi="Arial" w:cs="Arial"/>
                <w:color w:val="231F20"/>
                <w:sz w:val="20"/>
                <w:szCs w:val="20"/>
                <w:lang w:eastAsia="en-CA"/>
              </w:rPr>
            </w:pPr>
          </w:p>
          <w:p w14:paraId="55787B5C" w14:textId="77777777" w:rsidR="00240993" w:rsidRDefault="00240993" w:rsidP="00240993">
            <w:pPr>
              <w:rPr>
                <w:rFonts w:ascii="Arial" w:eastAsia="Times New Roman" w:hAnsi="Arial" w:cs="Arial"/>
                <w:color w:val="231F20"/>
                <w:sz w:val="20"/>
                <w:szCs w:val="20"/>
                <w:lang w:eastAsia="en-CA"/>
              </w:rPr>
            </w:pPr>
          </w:p>
          <w:p w14:paraId="7E41EEDA" w14:textId="6ADA1499" w:rsidR="00E25F12" w:rsidRDefault="00E25F12" w:rsidP="00E25F12">
            <w:pPr>
              <w:rPr>
                <w:rFonts w:ascii="Arial" w:eastAsia="Times New Roman" w:hAnsi="Arial" w:cs="Arial"/>
                <w:color w:val="231F20"/>
                <w:sz w:val="20"/>
                <w:szCs w:val="20"/>
                <w:lang w:eastAsia="en-CA"/>
              </w:rPr>
            </w:pPr>
          </w:p>
          <w:p w14:paraId="4B55129D" w14:textId="77777777" w:rsidR="00240993" w:rsidRDefault="00240993" w:rsidP="00E25F12">
            <w:pPr>
              <w:rPr>
                <w:rFonts w:ascii="Arial" w:eastAsia="Times New Roman" w:hAnsi="Arial" w:cs="Arial"/>
                <w:color w:val="231F20"/>
                <w:sz w:val="20"/>
                <w:szCs w:val="20"/>
                <w:lang w:eastAsia="en-CA"/>
              </w:rPr>
            </w:pPr>
          </w:p>
          <w:p w14:paraId="41C886DE" w14:textId="77777777" w:rsidR="00EB1186" w:rsidRDefault="00EB1186" w:rsidP="00E25F12">
            <w:pPr>
              <w:rPr>
                <w:rFonts w:ascii="Arial" w:eastAsia="Times New Roman" w:hAnsi="Arial" w:cs="Arial"/>
                <w:color w:val="231F20"/>
                <w:sz w:val="20"/>
                <w:szCs w:val="20"/>
                <w:lang w:eastAsia="en-CA"/>
              </w:rPr>
            </w:pPr>
          </w:p>
          <w:p w14:paraId="208F6ED3" w14:textId="77777777" w:rsidR="00E25F12" w:rsidRDefault="00E25F12" w:rsidP="00E25F12">
            <w:pPr>
              <w:jc w:val="right"/>
              <w:rPr>
                <w:rFonts w:ascii="Arial" w:eastAsia="Times New Roman" w:hAnsi="Arial" w:cs="Arial"/>
                <w:color w:val="231F20"/>
                <w:sz w:val="20"/>
                <w:szCs w:val="20"/>
                <w:lang w:eastAsia="en-CA"/>
              </w:rPr>
            </w:pPr>
          </w:p>
          <w:p w14:paraId="0077371E" w14:textId="42751410" w:rsidR="00E25F12" w:rsidRPr="00E25F12" w:rsidRDefault="00E25F12" w:rsidP="00E25F12">
            <w:pPr>
              <w:jc w:val="right"/>
              <w:rPr>
                <w:rFonts w:ascii="Arial" w:eastAsia="Times New Roman" w:hAnsi="Arial" w:cs="Arial"/>
                <w:color w:val="231F20"/>
                <w:sz w:val="20"/>
                <w:szCs w:val="20"/>
                <w:lang w:eastAsia="en-CA"/>
              </w:rPr>
            </w:pPr>
            <w:r w:rsidRPr="00E25F12">
              <w:rPr>
                <w:rFonts w:ascii="Arial" w:eastAsia="Times New Roman" w:hAnsi="Arial" w:cs="Arial"/>
                <w:color w:val="231F20"/>
                <w:sz w:val="20"/>
                <w:szCs w:val="20"/>
                <w:lang w:eastAsia="en-CA"/>
              </w:rPr>
              <w:t>Leadership and Democracy Lab</w:t>
            </w:r>
          </w:p>
          <w:p w14:paraId="788A39F6" w14:textId="77777777" w:rsidR="00E25F12" w:rsidRPr="00E25F12" w:rsidRDefault="00E25F12" w:rsidP="00E25F12">
            <w:pPr>
              <w:jc w:val="right"/>
              <w:rPr>
                <w:rFonts w:ascii="Arial" w:eastAsia="Times New Roman" w:hAnsi="Arial" w:cs="Arial"/>
                <w:color w:val="231F20"/>
                <w:sz w:val="20"/>
                <w:szCs w:val="20"/>
                <w:lang w:eastAsia="en-CA"/>
              </w:rPr>
            </w:pPr>
            <w:r w:rsidRPr="00E25F12">
              <w:rPr>
                <w:rFonts w:ascii="Arial" w:eastAsia="Times New Roman" w:hAnsi="Arial" w:cs="Arial"/>
                <w:color w:val="231F20"/>
                <w:sz w:val="20"/>
                <w:szCs w:val="20"/>
                <w:lang w:eastAsia="en-CA"/>
              </w:rPr>
              <w:t>University of Western Ontario</w:t>
            </w:r>
          </w:p>
          <w:p w14:paraId="69DE77D2" w14:textId="77777777" w:rsidR="00E25F12" w:rsidRPr="00E25F12" w:rsidRDefault="00E25F12" w:rsidP="00E25F12">
            <w:pPr>
              <w:jc w:val="right"/>
              <w:rPr>
                <w:rFonts w:ascii="Arial" w:eastAsia="Times New Roman" w:hAnsi="Arial" w:cs="Arial"/>
                <w:color w:val="231F20"/>
                <w:sz w:val="20"/>
                <w:szCs w:val="20"/>
                <w:lang w:eastAsia="en-CA"/>
              </w:rPr>
            </w:pPr>
            <w:r w:rsidRPr="00E25F12">
              <w:rPr>
                <w:rFonts w:ascii="Arial" w:eastAsia="Times New Roman" w:hAnsi="Arial" w:cs="Arial"/>
                <w:color w:val="231F20"/>
                <w:sz w:val="20"/>
                <w:szCs w:val="20"/>
                <w:lang w:eastAsia="en-CA"/>
              </w:rPr>
              <w:t>1151 Richmond Street</w:t>
            </w:r>
          </w:p>
          <w:p w14:paraId="16A7966C" w14:textId="77777777" w:rsidR="00E25F12" w:rsidRPr="00E25F12" w:rsidRDefault="00E25F12" w:rsidP="00E25F12">
            <w:pPr>
              <w:jc w:val="right"/>
              <w:rPr>
                <w:rFonts w:ascii="Arial" w:eastAsia="Times New Roman" w:hAnsi="Arial" w:cs="Arial"/>
                <w:color w:val="231F20"/>
                <w:sz w:val="20"/>
                <w:szCs w:val="20"/>
                <w:lang w:eastAsia="en-CA"/>
              </w:rPr>
            </w:pPr>
            <w:r w:rsidRPr="00E25F12">
              <w:rPr>
                <w:rFonts w:ascii="Arial" w:eastAsia="Times New Roman" w:hAnsi="Arial" w:cs="Arial"/>
                <w:color w:val="231F20"/>
                <w:sz w:val="20"/>
                <w:szCs w:val="20"/>
                <w:lang w:eastAsia="en-CA"/>
              </w:rPr>
              <w:t>London, Ontario, Canada, N6A 3K7</w:t>
            </w:r>
          </w:p>
          <w:p w14:paraId="11C99D23" w14:textId="77777777" w:rsidR="00E25F12" w:rsidRDefault="00E25F12" w:rsidP="00E25F12">
            <w:pPr>
              <w:jc w:val="right"/>
              <w:rPr>
                <w:rFonts w:ascii="Arial" w:eastAsia="Times New Roman" w:hAnsi="Arial" w:cs="Arial"/>
                <w:color w:val="231F20"/>
                <w:sz w:val="20"/>
                <w:szCs w:val="20"/>
                <w:lang w:eastAsia="en-CA"/>
              </w:rPr>
            </w:pPr>
          </w:p>
          <w:p w14:paraId="36426CA0" w14:textId="5A5BE0BD" w:rsidR="00E25F12" w:rsidRPr="00E25F12" w:rsidRDefault="00E25F12" w:rsidP="00E25F12">
            <w:pPr>
              <w:jc w:val="right"/>
              <w:rPr>
                <w:rFonts w:ascii="Arial" w:eastAsia="Times New Roman" w:hAnsi="Arial" w:cs="Arial"/>
                <w:color w:val="231F20"/>
                <w:sz w:val="20"/>
                <w:szCs w:val="20"/>
                <w:lang w:eastAsia="en-CA"/>
              </w:rPr>
            </w:pPr>
            <w:r w:rsidRPr="00E25F12">
              <w:rPr>
                <w:rFonts w:ascii="Arial" w:eastAsia="Times New Roman" w:hAnsi="Arial" w:cs="Arial"/>
                <w:color w:val="231F20"/>
                <w:sz w:val="20"/>
                <w:szCs w:val="20"/>
                <w:lang w:eastAsia="en-CA"/>
              </w:rPr>
              <w:t>http://www.democracylab.uwo.ca/</w:t>
            </w:r>
          </w:p>
          <w:p w14:paraId="0E5E311B" w14:textId="77777777" w:rsidR="00E25F12" w:rsidRDefault="00E25F12" w:rsidP="00E25F12">
            <w:pPr>
              <w:jc w:val="right"/>
              <w:rPr>
                <w:rFonts w:ascii="Arial" w:eastAsia="Times New Roman" w:hAnsi="Arial" w:cs="Arial"/>
                <w:color w:val="231F20"/>
                <w:sz w:val="20"/>
                <w:szCs w:val="20"/>
                <w:lang w:eastAsia="en-CA"/>
              </w:rPr>
            </w:pPr>
          </w:p>
          <w:p w14:paraId="546B3904" w14:textId="547BA88F" w:rsidR="00E25F12" w:rsidRPr="00D06A12" w:rsidRDefault="00E25F12" w:rsidP="00E25F12">
            <w:pPr>
              <w:jc w:val="right"/>
              <w:rPr>
                <w:rFonts w:ascii="Arial" w:eastAsia="Times New Roman" w:hAnsi="Arial" w:cs="Arial"/>
                <w:b/>
                <w:bCs/>
                <w:color w:val="231F20"/>
                <w:sz w:val="20"/>
                <w:szCs w:val="20"/>
                <w:lang w:eastAsia="en-CA"/>
              </w:rPr>
            </w:pPr>
            <w:r w:rsidRPr="00D06A12">
              <w:rPr>
                <w:rFonts w:ascii="Arial" w:eastAsia="Times New Roman" w:hAnsi="Arial" w:cs="Arial"/>
                <w:b/>
                <w:bCs/>
                <w:color w:val="231F20"/>
                <w:sz w:val="20"/>
                <w:szCs w:val="20"/>
                <w:lang w:eastAsia="en-CA"/>
              </w:rPr>
              <w:t>Published A</w:t>
            </w:r>
            <w:r w:rsidR="000B4861">
              <w:rPr>
                <w:rFonts w:ascii="Arial" w:eastAsia="Times New Roman" w:hAnsi="Arial" w:cs="Arial"/>
                <w:b/>
                <w:bCs/>
                <w:color w:val="231F20"/>
                <w:sz w:val="20"/>
                <w:szCs w:val="20"/>
                <w:lang w:eastAsia="en-CA"/>
              </w:rPr>
              <w:t>ugust</w:t>
            </w:r>
            <w:r w:rsidRPr="00D06A12">
              <w:rPr>
                <w:rFonts w:ascii="Arial" w:eastAsia="Times New Roman" w:hAnsi="Arial" w:cs="Arial"/>
                <w:b/>
                <w:bCs/>
                <w:color w:val="231F20"/>
                <w:sz w:val="20"/>
                <w:szCs w:val="20"/>
                <w:lang w:eastAsia="en-CA"/>
              </w:rPr>
              <w:t xml:space="preserve"> 202</w:t>
            </w:r>
            <w:r w:rsidR="000B4861">
              <w:rPr>
                <w:rFonts w:ascii="Arial" w:eastAsia="Times New Roman" w:hAnsi="Arial" w:cs="Arial"/>
                <w:b/>
                <w:bCs/>
                <w:color w:val="231F20"/>
                <w:sz w:val="20"/>
                <w:szCs w:val="20"/>
                <w:lang w:eastAsia="en-CA"/>
              </w:rPr>
              <w:t>2</w:t>
            </w:r>
            <w:r w:rsidRPr="00D06A12">
              <w:rPr>
                <w:rFonts w:ascii="Arial" w:eastAsia="Times New Roman" w:hAnsi="Arial" w:cs="Arial"/>
                <w:b/>
                <w:bCs/>
                <w:color w:val="231F20"/>
                <w:sz w:val="20"/>
                <w:szCs w:val="20"/>
                <w:lang w:eastAsia="en-CA"/>
              </w:rPr>
              <w:t>. All rights reserved.</w:t>
            </w:r>
          </w:p>
        </w:tc>
      </w:tr>
    </w:tbl>
    <w:p w14:paraId="6496546F" w14:textId="7A64D896" w:rsidR="008314A1" w:rsidRDefault="008314A1" w:rsidP="003F4E63"/>
    <w:sdt>
      <w:sdtPr>
        <w:rPr>
          <w:rFonts w:asciiTheme="minorBidi" w:eastAsiaTheme="minorHAnsi" w:hAnsiTheme="minorBidi" w:cstheme="minorBidi"/>
          <w:b w:val="0"/>
          <w:bCs w:val="0"/>
          <w:color w:val="auto"/>
          <w:sz w:val="22"/>
          <w:szCs w:val="22"/>
          <w:lang w:val="en-CA" w:eastAsia="en-US"/>
        </w:rPr>
        <w:id w:val="-1794664730"/>
        <w:docPartObj>
          <w:docPartGallery w:val="Table of Contents"/>
          <w:docPartUnique/>
        </w:docPartObj>
      </w:sdtPr>
      <w:sdtEndPr>
        <w:rPr>
          <w:noProof/>
        </w:rPr>
      </w:sdtEndPr>
      <w:sdtContent>
        <w:p w14:paraId="1B12B5E1" w14:textId="0B03F93B" w:rsidR="003C4143" w:rsidRPr="00AD09DE" w:rsidRDefault="003C4143">
          <w:pPr>
            <w:pStyle w:val="TOCHeading"/>
            <w:rPr>
              <w:rFonts w:asciiTheme="minorBidi" w:hAnsiTheme="minorBidi" w:cstheme="minorBidi"/>
            </w:rPr>
          </w:pPr>
          <w:r w:rsidRPr="00AD09DE">
            <w:rPr>
              <w:rFonts w:asciiTheme="minorBidi" w:hAnsiTheme="minorBidi" w:cstheme="minorBidi"/>
            </w:rPr>
            <w:t>Table of Contents</w:t>
          </w:r>
        </w:p>
        <w:p w14:paraId="327CF6D8" w14:textId="480C5C08" w:rsidR="003C4143" w:rsidRPr="00AD09DE" w:rsidRDefault="003C4143" w:rsidP="003C4143">
          <w:pPr>
            <w:rPr>
              <w:rFonts w:asciiTheme="minorBidi" w:hAnsiTheme="minorBidi"/>
              <w:lang w:val="en-US" w:eastAsia="en-CA"/>
            </w:rPr>
          </w:pPr>
        </w:p>
        <w:p w14:paraId="1D338350" w14:textId="68F8FBEB" w:rsidR="003C4143" w:rsidRPr="00AD09DE" w:rsidRDefault="003C4143" w:rsidP="003C4143">
          <w:pPr>
            <w:rPr>
              <w:rFonts w:asciiTheme="minorBidi" w:hAnsiTheme="minorBidi"/>
              <w:lang w:val="en-US" w:eastAsia="en-CA"/>
            </w:rPr>
          </w:pPr>
        </w:p>
        <w:p w14:paraId="32E55AA9" w14:textId="77777777" w:rsidR="003C4143" w:rsidRPr="00AD09DE" w:rsidRDefault="003C4143" w:rsidP="003C4143">
          <w:pPr>
            <w:rPr>
              <w:rFonts w:asciiTheme="minorBidi" w:hAnsiTheme="minorBidi"/>
              <w:lang w:val="en-US" w:eastAsia="en-CA"/>
            </w:rPr>
          </w:pPr>
        </w:p>
        <w:p w14:paraId="1B52C1E8" w14:textId="3CE21294" w:rsidR="00AD09DE" w:rsidRDefault="003C4143">
          <w:pPr>
            <w:pStyle w:val="TOC1"/>
            <w:tabs>
              <w:tab w:val="right" w:leader="dot" w:pos="11096"/>
            </w:tabs>
            <w:rPr>
              <w:rFonts w:eastAsiaTheme="minorEastAsia"/>
              <w:noProof/>
              <w:sz w:val="24"/>
              <w:szCs w:val="24"/>
              <w:lang w:bidi="he-IL"/>
            </w:rPr>
          </w:pPr>
          <w:r w:rsidRPr="00AD09DE">
            <w:rPr>
              <w:rFonts w:asciiTheme="minorBidi" w:hAnsiTheme="minorBidi"/>
            </w:rPr>
            <w:fldChar w:fldCharType="begin"/>
          </w:r>
          <w:r w:rsidRPr="00AD09DE">
            <w:rPr>
              <w:rFonts w:asciiTheme="minorBidi" w:hAnsiTheme="minorBidi"/>
            </w:rPr>
            <w:instrText xml:space="preserve"> TOC \o "1-3" \h \z \u </w:instrText>
          </w:r>
          <w:r w:rsidRPr="00AD09DE">
            <w:rPr>
              <w:rFonts w:asciiTheme="minorBidi" w:hAnsiTheme="minorBidi"/>
            </w:rPr>
            <w:fldChar w:fldCharType="separate"/>
          </w:r>
          <w:hyperlink w:anchor="_Toc110685472" w:history="1">
            <w:r w:rsidR="00AD09DE" w:rsidRPr="00742823">
              <w:rPr>
                <w:rStyle w:val="Hyperlink"/>
                <w:noProof/>
              </w:rPr>
              <w:t>Introduction</w:t>
            </w:r>
            <w:r w:rsidR="00AD09DE">
              <w:rPr>
                <w:noProof/>
                <w:webHidden/>
              </w:rPr>
              <w:tab/>
            </w:r>
            <w:r w:rsidR="00AD09DE">
              <w:rPr>
                <w:noProof/>
                <w:webHidden/>
              </w:rPr>
              <w:fldChar w:fldCharType="begin"/>
            </w:r>
            <w:r w:rsidR="00AD09DE">
              <w:rPr>
                <w:noProof/>
                <w:webHidden/>
              </w:rPr>
              <w:instrText xml:space="preserve"> PAGEREF _Toc110685472 \h </w:instrText>
            </w:r>
            <w:r w:rsidR="00AD09DE">
              <w:rPr>
                <w:noProof/>
                <w:webHidden/>
              </w:rPr>
            </w:r>
            <w:r w:rsidR="00AD09DE">
              <w:rPr>
                <w:noProof/>
                <w:webHidden/>
              </w:rPr>
              <w:fldChar w:fldCharType="separate"/>
            </w:r>
            <w:r w:rsidR="00AD09DE">
              <w:rPr>
                <w:noProof/>
                <w:webHidden/>
              </w:rPr>
              <w:t>4</w:t>
            </w:r>
            <w:r w:rsidR="00AD09DE">
              <w:rPr>
                <w:noProof/>
                <w:webHidden/>
              </w:rPr>
              <w:fldChar w:fldCharType="end"/>
            </w:r>
          </w:hyperlink>
        </w:p>
        <w:p w14:paraId="50E59C79" w14:textId="0808BC59" w:rsidR="00AD09DE" w:rsidRDefault="00000000">
          <w:pPr>
            <w:pStyle w:val="TOC1"/>
            <w:tabs>
              <w:tab w:val="right" w:leader="dot" w:pos="11096"/>
            </w:tabs>
            <w:rPr>
              <w:rFonts w:eastAsiaTheme="minorEastAsia"/>
              <w:noProof/>
              <w:sz w:val="24"/>
              <w:szCs w:val="24"/>
              <w:lang w:bidi="he-IL"/>
            </w:rPr>
          </w:pPr>
          <w:hyperlink w:anchor="_Toc110685473" w:history="1">
            <w:r w:rsidR="00AD09DE" w:rsidRPr="00742823">
              <w:rPr>
                <w:rStyle w:val="Hyperlink"/>
                <w:noProof/>
              </w:rPr>
              <w:t>Corporate Risk</w:t>
            </w:r>
            <w:r w:rsidR="00AD09DE">
              <w:rPr>
                <w:noProof/>
                <w:webHidden/>
              </w:rPr>
              <w:tab/>
            </w:r>
            <w:r w:rsidR="00AD09DE">
              <w:rPr>
                <w:noProof/>
                <w:webHidden/>
              </w:rPr>
              <w:fldChar w:fldCharType="begin"/>
            </w:r>
            <w:r w:rsidR="00AD09DE">
              <w:rPr>
                <w:noProof/>
                <w:webHidden/>
              </w:rPr>
              <w:instrText xml:space="preserve"> PAGEREF _Toc110685473 \h </w:instrText>
            </w:r>
            <w:r w:rsidR="00AD09DE">
              <w:rPr>
                <w:noProof/>
                <w:webHidden/>
              </w:rPr>
            </w:r>
            <w:r w:rsidR="00AD09DE">
              <w:rPr>
                <w:noProof/>
                <w:webHidden/>
              </w:rPr>
              <w:fldChar w:fldCharType="separate"/>
            </w:r>
            <w:r w:rsidR="00AD09DE">
              <w:rPr>
                <w:noProof/>
                <w:webHidden/>
              </w:rPr>
              <w:t>5</w:t>
            </w:r>
            <w:r w:rsidR="00AD09DE">
              <w:rPr>
                <w:noProof/>
                <w:webHidden/>
              </w:rPr>
              <w:fldChar w:fldCharType="end"/>
            </w:r>
          </w:hyperlink>
        </w:p>
        <w:p w14:paraId="13B0BAD5" w14:textId="3527F2B9" w:rsidR="00AD09DE" w:rsidRDefault="00000000">
          <w:pPr>
            <w:pStyle w:val="TOC1"/>
            <w:tabs>
              <w:tab w:val="right" w:leader="dot" w:pos="11096"/>
            </w:tabs>
            <w:rPr>
              <w:rFonts w:eastAsiaTheme="minorEastAsia"/>
              <w:noProof/>
              <w:sz w:val="24"/>
              <w:szCs w:val="24"/>
              <w:lang w:bidi="he-IL"/>
            </w:rPr>
          </w:pPr>
          <w:hyperlink w:anchor="_Toc110685474" w:history="1">
            <w:r w:rsidR="00AD09DE" w:rsidRPr="00742823">
              <w:rPr>
                <w:rStyle w:val="Hyperlink"/>
                <w:noProof/>
              </w:rPr>
              <w:t>Social Risk</w:t>
            </w:r>
            <w:r w:rsidR="00AD09DE">
              <w:rPr>
                <w:noProof/>
                <w:webHidden/>
              </w:rPr>
              <w:tab/>
            </w:r>
            <w:r w:rsidR="00AD09DE">
              <w:rPr>
                <w:noProof/>
                <w:webHidden/>
              </w:rPr>
              <w:fldChar w:fldCharType="begin"/>
            </w:r>
            <w:r w:rsidR="00AD09DE">
              <w:rPr>
                <w:noProof/>
                <w:webHidden/>
              </w:rPr>
              <w:instrText xml:space="preserve"> PAGEREF _Toc110685474 \h </w:instrText>
            </w:r>
            <w:r w:rsidR="00AD09DE">
              <w:rPr>
                <w:noProof/>
                <w:webHidden/>
              </w:rPr>
            </w:r>
            <w:r w:rsidR="00AD09DE">
              <w:rPr>
                <w:noProof/>
                <w:webHidden/>
              </w:rPr>
              <w:fldChar w:fldCharType="separate"/>
            </w:r>
            <w:r w:rsidR="00AD09DE">
              <w:rPr>
                <w:noProof/>
                <w:webHidden/>
              </w:rPr>
              <w:t>7</w:t>
            </w:r>
            <w:r w:rsidR="00AD09DE">
              <w:rPr>
                <w:noProof/>
                <w:webHidden/>
              </w:rPr>
              <w:fldChar w:fldCharType="end"/>
            </w:r>
          </w:hyperlink>
        </w:p>
        <w:p w14:paraId="7DFC2DEE" w14:textId="08F83C41" w:rsidR="00AD09DE" w:rsidRDefault="00000000">
          <w:pPr>
            <w:pStyle w:val="TOC1"/>
            <w:tabs>
              <w:tab w:val="right" w:leader="dot" w:pos="11096"/>
            </w:tabs>
            <w:rPr>
              <w:rFonts w:eastAsiaTheme="minorEastAsia"/>
              <w:noProof/>
              <w:sz w:val="24"/>
              <w:szCs w:val="24"/>
              <w:lang w:bidi="he-IL"/>
            </w:rPr>
          </w:pPr>
          <w:hyperlink w:anchor="_Toc110685475" w:history="1">
            <w:r w:rsidR="00AD09DE" w:rsidRPr="00742823">
              <w:rPr>
                <w:rStyle w:val="Hyperlink"/>
                <w:noProof/>
              </w:rPr>
              <w:t>Policy Risk</w:t>
            </w:r>
            <w:r w:rsidR="00AD09DE">
              <w:rPr>
                <w:noProof/>
                <w:webHidden/>
              </w:rPr>
              <w:tab/>
            </w:r>
            <w:r w:rsidR="00AD09DE">
              <w:rPr>
                <w:noProof/>
                <w:webHidden/>
              </w:rPr>
              <w:fldChar w:fldCharType="begin"/>
            </w:r>
            <w:r w:rsidR="00AD09DE">
              <w:rPr>
                <w:noProof/>
                <w:webHidden/>
              </w:rPr>
              <w:instrText xml:space="preserve"> PAGEREF _Toc110685475 \h </w:instrText>
            </w:r>
            <w:r w:rsidR="00AD09DE">
              <w:rPr>
                <w:noProof/>
                <w:webHidden/>
              </w:rPr>
            </w:r>
            <w:r w:rsidR="00AD09DE">
              <w:rPr>
                <w:noProof/>
                <w:webHidden/>
              </w:rPr>
              <w:fldChar w:fldCharType="separate"/>
            </w:r>
            <w:r w:rsidR="00AD09DE">
              <w:rPr>
                <w:noProof/>
                <w:webHidden/>
              </w:rPr>
              <w:t>11</w:t>
            </w:r>
            <w:r w:rsidR="00AD09DE">
              <w:rPr>
                <w:noProof/>
                <w:webHidden/>
              </w:rPr>
              <w:fldChar w:fldCharType="end"/>
            </w:r>
          </w:hyperlink>
        </w:p>
        <w:p w14:paraId="4E7AF846" w14:textId="6E14BCBF" w:rsidR="00AD09DE" w:rsidRDefault="00000000">
          <w:pPr>
            <w:pStyle w:val="TOC1"/>
            <w:tabs>
              <w:tab w:val="right" w:leader="dot" w:pos="11096"/>
            </w:tabs>
            <w:rPr>
              <w:rFonts w:eastAsiaTheme="minorEastAsia"/>
              <w:noProof/>
              <w:sz w:val="24"/>
              <w:szCs w:val="24"/>
              <w:lang w:bidi="he-IL"/>
            </w:rPr>
          </w:pPr>
          <w:hyperlink w:anchor="_Toc110685476" w:history="1">
            <w:r w:rsidR="00AD09DE" w:rsidRPr="00742823">
              <w:rPr>
                <w:rStyle w:val="Hyperlink"/>
                <w:noProof/>
              </w:rPr>
              <w:t>Figures</w:t>
            </w:r>
            <w:r w:rsidR="00AD09DE">
              <w:rPr>
                <w:noProof/>
                <w:webHidden/>
              </w:rPr>
              <w:tab/>
            </w:r>
            <w:r w:rsidR="00AD09DE">
              <w:rPr>
                <w:noProof/>
                <w:webHidden/>
              </w:rPr>
              <w:fldChar w:fldCharType="begin"/>
            </w:r>
            <w:r w:rsidR="00AD09DE">
              <w:rPr>
                <w:noProof/>
                <w:webHidden/>
              </w:rPr>
              <w:instrText xml:space="preserve"> PAGEREF _Toc110685476 \h </w:instrText>
            </w:r>
            <w:r w:rsidR="00AD09DE">
              <w:rPr>
                <w:noProof/>
                <w:webHidden/>
              </w:rPr>
            </w:r>
            <w:r w:rsidR="00AD09DE">
              <w:rPr>
                <w:noProof/>
                <w:webHidden/>
              </w:rPr>
              <w:fldChar w:fldCharType="separate"/>
            </w:r>
            <w:r w:rsidR="00AD09DE">
              <w:rPr>
                <w:noProof/>
                <w:webHidden/>
              </w:rPr>
              <w:t>14</w:t>
            </w:r>
            <w:r w:rsidR="00AD09DE">
              <w:rPr>
                <w:noProof/>
                <w:webHidden/>
              </w:rPr>
              <w:fldChar w:fldCharType="end"/>
            </w:r>
          </w:hyperlink>
        </w:p>
        <w:p w14:paraId="5E937629" w14:textId="5B1FB531" w:rsidR="00AD09DE" w:rsidRDefault="00000000">
          <w:pPr>
            <w:pStyle w:val="TOC1"/>
            <w:tabs>
              <w:tab w:val="right" w:leader="dot" w:pos="11096"/>
            </w:tabs>
            <w:rPr>
              <w:rFonts w:eastAsiaTheme="minorEastAsia"/>
              <w:noProof/>
              <w:sz w:val="24"/>
              <w:szCs w:val="24"/>
              <w:lang w:bidi="he-IL"/>
            </w:rPr>
          </w:pPr>
          <w:hyperlink w:anchor="_Toc110685477" w:history="1">
            <w:r w:rsidR="00AD09DE" w:rsidRPr="00742823">
              <w:rPr>
                <w:rStyle w:val="Hyperlink"/>
                <w:noProof/>
              </w:rPr>
              <w:t>Citations</w:t>
            </w:r>
            <w:r w:rsidR="00AD09DE">
              <w:rPr>
                <w:noProof/>
                <w:webHidden/>
              </w:rPr>
              <w:tab/>
            </w:r>
            <w:r w:rsidR="00AD09DE">
              <w:rPr>
                <w:noProof/>
                <w:webHidden/>
              </w:rPr>
              <w:fldChar w:fldCharType="begin"/>
            </w:r>
            <w:r w:rsidR="00AD09DE">
              <w:rPr>
                <w:noProof/>
                <w:webHidden/>
              </w:rPr>
              <w:instrText xml:space="preserve"> PAGEREF _Toc110685477 \h </w:instrText>
            </w:r>
            <w:r w:rsidR="00AD09DE">
              <w:rPr>
                <w:noProof/>
                <w:webHidden/>
              </w:rPr>
            </w:r>
            <w:r w:rsidR="00AD09DE">
              <w:rPr>
                <w:noProof/>
                <w:webHidden/>
              </w:rPr>
              <w:fldChar w:fldCharType="separate"/>
            </w:r>
            <w:r w:rsidR="00AD09DE">
              <w:rPr>
                <w:noProof/>
                <w:webHidden/>
              </w:rPr>
              <w:t>15</w:t>
            </w:r>
            <w:r w:rsidR="00AD09DE">
              <w:rPr>
                <w:noProof/>
                <w:webHidden/>
              </w:rPr>
              <w:fldChar w:fldCharType="end"/>
            </w:r>
          </w:hyperlink>
        </w:p>
        <w:p w14:paraId="37D8332F" w14:textId="5A28EFD7" w:rsidR="003C4143" w:rsidRPr="00AD09DE" w:rsidRDefault="003C4143" w:rsidP="003C4143">
          <w:pPr>
            <w:spacing w:line="480" w:lineRule="auto"/>
            <w:rPr>
              <w:rFonts w:asciiTheme="minorBidi" w:hAnsiTheme="minorBidi"/>
            </w:rPr>
          </w:pPr>
          <w:r w:rsidRPr="00AD09DE">
            <w:rPr>
              <w:rFonts w:asciiTheme="minorBidi" w:hAnsiTheme="minorBidi"/>
              <w:b/>
              <w:bCs/>
              <w:noProof/>
            </w:rPr>
            <w:fldChar w:fldCharType="end"/>
          </w:r>
        </w:p>
      </w:sdtContent>
    </w:sdt>
    <w:p w14:paraId="64EBD02D" w14:textId="459E40C3" w:rsidR="004D798B" w:rsidRDefault="004D798B" w:rsidP="003F4E63"/>
    <w:p w14:paraId="632760B0" w14:textId="78B536B2" w:rsidR="004D798B" w:rsidRDefault="004D798B" w:rsidP="003F4E63"/>
    <w:p w14:paraId="5B00470B" w14:textId="34B25EEB" w:rsidR="004D798B" w:rsidRDefault="004D798B" w:rsidP="003F4E63"/>
    <w:p w14:paraId="39F022C1" w14:textId="4C722798" w:rsidR="004D798B" w:rsidRDefault="004D798B" w:rsidP="003F4E63"/>
    <w:p w14:paraId="5265D81F" w14:textId="2820F84D" w:rsidR="004D798B" w:rsidRDefault="004D798B" w:rsidP="003F4E63"/>
    <w:p w14:paraId="27299112" w14:textId="35295D4B" w:rsidR="004D798B" w:rsidRDefault="004D798B" w:rsidP="003F4E63"/>
    <w:p w14:paraId="0EECE87B" w14:textId="77777777" w:rsidR="00784D78" w:rsidRDefault="00784D78" w:rsidP="003F4E63"/>
    <w:p w14:paraId="5C365B8C" w14:textId="2C62FCE1" w:rsidR="004D798B" w:rsidRDefault="004D798B" w:rsidP="003F4E63"/>
    <w:p w14:paraId="6C8BFBB5" w14:textId="514442E4" w:rsidR="004D798B" w:rsidRDefault="004D798B" w:rsidP="003F4E63"/>
    <w:p w14:paraId="42C713A6" w14:textId="6A499394" w:rsidR="004D798B" w:rsidRDefault="004D798B" w:rsidP="003F4E63"/>
    <w:p w14:paraId="23AF9186" w14:textId="0049C0B8" w:rsidR="004D798B" w:rsidRDefault="004D798B" w:rsidP="003F4E63"/>
    <w:p w14:paraId="28730187" w14:textId="5F0E51BD" w:rsidR="00AD09DE" w:rsidRDefault="00AD09DE" w:rsidP="003F4E63"/>
    <w:p w14:paraId="4362A2A4" w14:textId="3A064565" w:rsidR="00AD09DE" w:rsidRDefault="00AD09DE" w:rsidP="003F4E63"/>
    <w:p w14:paraId="1DA1090A" w14:textId="45E473D6" w:rsidR="00AD09DE" w:rsidRDefault="00AD09DE" w:rsidP="003F4E63"/>
    <w:p w14:paraId="683CC337" w14:textId="77777777" w:rsidR="00AD09DE" w:rsidRDefault="00AD09DE" w:rsidP="003F4E63"/>
    <w:p w14:paraId="280C94A0" w14:textId="05AE7B1F" w:rsidR="004D798B" w:rsidRDefault="004D798B" w:rsidP="003F4E63"/>
    <w:p w14:paraId="11B60232" w14:textId="0E7EF8E8" w:rsidR="004D798B" w:rsidRDefault="004D798B" w:rsidP="003F4E63"/>
    <w:p w14:paraId="76AF69B1" w14:textId="427693E7" w:rsidR="004D798B" w:rsidRDefault="004D798B" w:rsidP="003F4E63"/>
    <w:p w14:paraId="2CAF0D3C" w14:textId="38231C46" w:rsidR="001D4336" w:rsidRPr="007C0CBF" w:rsidRDefault="000471D5" w:rsidP="0001147C">
      <w:pPr>
        <w:pStyle w:val="Heading1"/>
        <w:spacing w:after="240"/>
      </w:pPr>
      <w:bookmarkStart w:id="0" w:name="_Toc110685472"/>
      <w:r>
        <w:lastRenderedPageBreak/>
        <w:t>Introduction</w:t>
      </w:r>
      <w:bookmarkEnd w:id="0"/>
    </w:p>
    <w:p w14:paraId="143FE617" w14:textId="529B7D4E" w:rsidR="001D4336" w:rsidRPr="001D4336" w:rsidRDefault="001D4336" w:rsidP="001D4336">
      <w:pPr>
        <w:pStyle w:val="NormalWeb"/>
        <w:spacing w:before="0" w:beforeAutospacing="0" w:after="0" w:afterAutospacing="0"/>
        <w:rPr>
          <w:rFonts w:ascii="Arial" w:hAnsi="Arial" w:cs="Arial"/>
          <w:b/>
          <w:bCs/>
          <w:color w:val="231F20"/>
          <w:sz w:val="70"/>
          <w:szCs w:val="70"/>
        </w:rPr>
        <w:sectPr w:rsidR="001D4336" w:rsidRPr="001D4336" w:rsidSect="00ED6C12">
          <w:footerReference w:type="even" r:id="rId10"/>
          <w:footerReference w:type="default" r:id="rId11"/>
          <w:endnotePr>
            <w:numFmt w:val="decimal"/>
          </w:endnotePr>
          <w:pgSz w:w="12240" w:h="15840"/>
          <w:pgMar w:top="567" w:right="567" w:bottom="845" w:left="567" w:header="709" w:footer="397" w:gutter="0"/>
          <w:cols w:space="708"/>
          <w:docGrid w:linePitch="360"/>
        </w:sectPr>
      </w:pPr>
    </w:p>
    <w:p w14:paraId="216C8479" w14:textId="1B3D79F7" w:rsidR="000471D5" w:rsidRPr="000471D5" w:rsidRDefault="000471D5" w:rsidP="0001147C">
      <w:pPr>
        <w:autoSpaceDE w:val="0"/>
        <w:autoSpaceDN w:val="0"/>
        <w:adjustRightInd w:val="0"/>
        <w:spacing w:after="0" w:line="276" w:lineRule="auto"/>
        <w:ind w:firstLine="720"/>
        <w:jc w:val="both"/>
        <w:rPr>
          <w:rFonts w:ascii="Arial" w:hAnsi="Arial" w:cs="Arial"/>
          <w:lang w:val="en-US"/>
        </w:rPr>
      </w:pPr>
      <w:r w:rsidRPr="000471D5">
        <w:rPr>
          <w:rFonts w:ascii="Arial" w:hAnsi="Arial" w:cs="Arial"/>
          <w:lang w:val="en-US"/>
        </w:rPr>
        <w:t>The histories of California and the Pacific Gas and Electric Company (PG&amp;E) are inextricably linked.</w:t>
      </w:r>
      <w:r w:rsidR="0078287F">
        <w:rPr>
          <w:rStyle w:val="EndnoteReference"/>
          <w:rFonts w:ascii="Arial" w:hAnsi="Arial" w:cs="Arial"/>
          <w:lang w:val="en-US"/>
        </w:rPr>
        <w:endnoteReference w:id="2"/>
      </w:r>
      <w:r w:rsidRPr="000471D5">
        <w:rPr>
          <w:rFonts w:ascii="Arial" w:hAnsi="Arial" w:cs="Arial"/>
          <w:lang w:val="en-US"/>
        </w:rPr>
        <w:t xml:space="preserve"> Tracing its corporate ancestry back to the California Gold Rush, the utility company was officially incorporated in 1905.</w:t>
      </w:r>
      <w:r w:rsidR="0078287F">
        <w:rPr>
          <w:rStyle w:val="EndnoteReference"/>
          <w:rFonts w:ascii="Arial" w:hAnsi="Arial" w:cs="Arial"/>
          <w:lang w:val="en-US"/>
        </w:rPr>
        <w:endnoteReference w:id="3"/>
      </w:r>
      <w:r w:rsidR="0078287F">
        <w:rPr>
          <w:rFonts w:ascii="Arial" w:hAnsi="Arial" w:cs="Arial"/>
          <w:lang w:val="en-US"/>
        </w:rPr>
        <w:t xml:space="preserve"> </w:t>
      </w:r>
      <w:r w:rsidRPr="000471D5">
        <w:rPr>
          <w:rFonts w:ascii="Arial" w:hAnsi="Arial" w:cs="Arial"/>
          <w:lang w:val="en-US"/>
        </w:rPr>
        <w:t>Today, after several decades of remarkable growth, PG&amp;E is recognized as the largest natural gas and electric energy company in the state and is among the five largest utilities across the United States. PG&amp;E services approximately 16 million people throughout a 70,000-square-mile service area in northern and central California and maintains 108,681 circuit miles of electric distribution lines and 18,466 circuit miles of interconnected transmission lines.</w:t>
      </w:r>
      <w:r w:rsidR="003721C1">
        <w:rPr>
          <w:rStyle w:val="EndnoteReference"/>
          <w:rFonts w:ascii="Arial" w:hAnsi="Arial" w:cs="Arial"/>
          <w:lang w:val="en-US"/>
        </w:rPr>
        <w:endnoteReference w:id="4"/>
      </w:r>
      <w:r w:rsidRPr="000471D5">
        <w:rPr>
          <w:rFonts w:ascii="Arial" w:hAnsi="Arial" w:cs="Arial"/>
          <w:lang w:val="en-US"/>
        </w:rPr>
        <w:t xml:space="preserve">  </w:t>
      </w:r>
    </w:p>
    <w:p w14:paraId="5B22C7C8" w14:textId="381A9855" w:rsidR="000471D5" w:rsidRPr="000471D5" w:rsidRDefault="009528B6" w:rsidP="0001147C">
      <w:pPr>
        <w:autoSpaceDE w:val="0"/>
        <w:autoSpaceDN w:val="0"/>
        <w:adjustRightInd w:val="0"/>
        <w:spacing w:after="0" w:line="276" w:lineRule="auto"/>
        <w:ind w:firstLine="720"/>
        <w:jc w:val="both"/>
        <w:rPr>
          <w:rFonts w:ascii="Arial" w:hAnsi="Arial" w:cs="Arial"/>
          <w:lang w:val="en-US"/>
        </w:rPr>
      </w:pPr>
      <w:r w:rsidRPr="003721C1">
        <w:rPr>
          <w:rFonts w:ascii="Times New Roman" w:eastAsia="Times New Roman" w:hAnsi="Times New Roman" w:cs="Times New Roman"/>
          <w:noProof/>
          <w:sz w:val="24"/>
          <w:szCs w:val="24"/>
          <w:lang w:bidi="he-IL"/>
        </w:rPr>
        <w:drawing>
          <wp:anchor distT="0" distB="0" distL="0" distR="0" simplePos="0" relativeHeight="251658242" behindDoc="0" locked="1" layoutInCell="1" allowOverlap="1" wp14:anchorId="0CCF3919" wp14:editId="2FD7AE62">
            <wp:simplePos x="0" y="0"/>
            <wp:positionH relativeFrom="column">
              <wp:posOffset>635</wp:posOffset>
            </wp:positionH>
            <wp:positionV relativeFrom="paragraph">
              <wp:posOffset>2713355</wp:posOffset>
            </wp:positionV>
            <wp:extent cx="7052310" cy="3919855"/>
            <wp:effectExtent l="0" t="0" r="0" b="4445"/>
            <wp:wrapSquare wrapText="bothSides"/>
            <wp:docPr id="2" name="Picture 2" descr="pacific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cific 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2310" cy="391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1D5" w:rsidRPr="000471D5">
        <w:rPr>
          <w:rFonts w:ascii="Arial" w:hAnsi="Arial" w:cs="Arial"/>
          <w:lang w:val="en-US"/>
        </w:rPr>
        <w:t>In recent years, PG&amp;E has been responsible for wildfires that have destroyed hundreds of thousands of acres. Five of the ten most destructive fires in California since 2015 have been linked to PG&amp;E’s equipment.</w:t>
      </w:r>
      <w:r w:rsidR="003721C1">
        <w:rPr>
          <w:rStyle w:val="EndnoteReference"/>
          <w:rFonts w:ascii="Arial" w:hAnsi="Arial" w:cs="Arial"/>
          <w:lang w:val="en-US"/>
        </w:rPr>
        <w:endnoteReference w:id="5"/>
      </w:r>
      <w:r w:rsidR="003721C1">
        <w:rPr>
          <w:rFonts w:ascii="Arial" w:hAnsi="Arial" w:cs="Arial"/>
          <w:lang w:val="en-US"/>
        </w:rPr>
        <w:t xml:space="preserve"> </w:t>
      </w:r>
      <w:r w:rsidR="000471D5" w:rsidRPr="000471D5">
        <w:rPr>
          <w:rFonts w:ascii="Arial" w:hAnsi="Arial" w:cs="Arial"/>
          <w:lang w:val="en-US"/>
        </w:rPr>
        <w:t>In 2019, the company pleaded guilty to 84 counts of manslaughter and has previously admitted that its electric grids were responsible for a fire.</w:t>
      </w:r>
      <w:r w:rsidR="003721C1">
        <w:rPr>
          <w:rStyle w:val="EndnoteReference"/>
          <w:rFonts w:ascii="Arial" w:hAnsi="Arial" w:cs="Arial"/>
          <w:lang w:val="en-US"/>
        </w:rPr>
        <w:endnoteReference w:id="6"/>
      </w:r>
      <w:r w:rsidR="003721C1">
        <w:rPr>
          <w:rFonts w:ascii="Arial" w:hAnsi="Arial" w:cs="Arial"/>
          <w:lang w:val="en-US"/>
        </w:rPr>
        <w:t xml:space="preserve"> </w:t>
      </w:r>
      <w:r w:rsidR="000471D5" w:rsidRPr="000471D5">
        <w:rPr>
          <w:rFonts w:ascii="Arial" w:hAnsi="Arial" w:cs="Arial"/>
          <w:lang w:val="en-US"/>
        </w:rPr>
        <w:t>PG&amp;E also faces civil and criminal actions from other wildfires. After PG&amp;E amassed $30 billion in liability from the wildfires caused by its equipment, the utility sought bankruptcy protection in January 2019.</w:t>
      </w:r>
      <w:r w:rsidR="003721C1">
        <w:rPr>
          <w:rStyle w:val="EndnoteReference"/>
          <w:rFonts w:ascii="Arial" w:hAnsi="Arial" w:cs="Arial"/>
          <w:lang w:val="en-US"/>
        </w:rPr>
        <w:endnoteReference w:id="7"/>
      </w:r>
      <w:r w:rsidR="003721C1">
        <w:rPr>
          <w:rFonts w:ascii="Arial" w:hAnsi="Arial" w:cs="Arial"/>
          <w:lang w:val="en-US"/>
        </w:rPr>
        <w:t xml:space="preserve"> </w:t>
      </w:r>
      <w:r w:rsidR="000471D5" w:rsidRPr="000471D5">
        <w:rPr>
          <w:rFonts w:ascii="Arial" w:hAnsi="Arial" w:cs="Arial"/>
          <w:lang w:val="en-US"/>
        </w:rPr>
        <w:t xml:space="preserve">The company exited </w:t>
      </w:r>
      <w:r w:rsidR="000471D5" w:rsidRPr="000471D5">
        <w:rPr>
          <w:rFonts w:ascii="Arial" w:hAnsi="Arial" w:cs="Arial"/>
          <w:lang w:val="en-US"/>
        </w:rPr>
        <w:t>bankruptcy in July 2020, promising to work to prevent further wildfires.</w:t>
      </w:r>
      <w:r w:rsidR="003721C1">
        <w:rPr>
          <w:rStyle w:val="EndnoteReference"/>
          <w:rFonts w:ascii="Arial" w:hAnsi="Arial" w:cs="Arial"/>
          <w:lang w:val="en-US"/>
        </w:rPr>
        <w:endnoteReference w:id="8"/>
      </w:r>
      <w:r w:rsidR="003721C1">
        <w:rPr>
          <w:rFonts w:ascii="Arial" w:hAnsi="Arial" w:cs="Arial"/>
          <w:lang w:val="en-US"/>
        </w:rPr>
        <w:t xml:space="preserve"> </w:t>
      </w:r>
      <w:r w:rsidR="000471D5" w:rsidRPr="000471D5">
        <w:rPr>
          <w:rFonts w:ascii="Arial" w:hAnsi="Arial" w:cs="Arial"/>
          <w:lang w:val="en-US"/>
        </w:rPr>
        <w:t>Victims of the fires have continued to seek compensation for their losses that became part of the company’s bankruptcy plan.</w:t>
      </w:r>
    </w:p>
    <w:p w14:paraId="0D9F8E6F" w14:textId="77777777" w:rsidR="000471D5" w:rsidRPr="000471D5" w:rsidRDefault="000471D5" w:rsidP="0001147C">
      <w:pPr>
        <w:autoSpaceDE w:val="0"/>
        <w:autoSpaceDN w:val="0"/>
        <w:adjustRightInd w:val="0"/>
        <w:spacing w:after="0" w:line="276" w:lineRule="auto"/>
        <w:ind w:firstLine="720"/>
        <w:jc w:val="both"/>
        <w:rPr>
          <w:rFonts w:ascii="Arial" w:hAnsi="Arial" w:cs="Arial"/>
          <w:lang w:val="en-US"/>
        </w:rPr>
      </w:pPr>
      <w:r w:rsidRPr="000471D5">
        <w:rPr>
          <w:rFonts w:ascii="Arial" w:hAnsi="Arial" w:cs="Arial"/>
          <w:lang w:val="en-US"/>
        </w:rPr>
        <w:t xml:space="preserve">Providing consistent power for 16 million people, maintaining the integrity of more than 100,000 miles of power lines and answering to California’s regulators and company shareholders is an important and necessary job. Accordingly, it is imperative that PG&amp;E repairs its relationship with the state of California – not only for the future of the company but for the well-being of the communities in which the utility operates as well. To do so, risks must be effectively mitigated through nimble, timely responses paired with significant investment in infrastructure, technology, and critical support systems. </w:t>
      </w:r>
    </w:p>
    <w:p w14:paraId="0065588C" w14:textId="611E6523" w:rsidR="00C26955" w:rsidRDefault="000471D5" w:rsidP="0001147C">
      <w:pPr>
        <w:autoSpaceDE w:val="0"/>
        <w:autoSpaceDN w:val="0"/>
        <w:adjustRightInd w:val="0"/>
        <w:spacing w:after="0" w:line="276" w:lineRule="auto"/>
        <w:ind w:firstLine="720"/>
        <w:jc w:val="both"/>
        <w:rPr>
          <w:rFonts w:ascii="Arial" w:hAnsi="Arial" w:cs="Arial"/>
          <w:lang w:val="en-US"/>
        </w:rPr>
        <w:sectPr w:rsidR="00C26955" w:rsidSect="001D4336">
          <w:endnotePr>
            <w:numFmt w:val="decimal"/>
          </w:endnotePr>
          <w:type w:val="continuous"/>
          <w:pgSz w:w="12240" w:h="15840"/>
          <w:pgMar w:top="567" w:right="567" w:bottom="845" w:left="567" w:header="709" w:footer="397" w:gutter="0"/>
          <w:cols w:num="2" w:space="397"/>
          <w:docGrid w:linePitch="360"/>
        </w:sectPr>
      </w:pPr>
      <w:r w:rsidRPr="000471D5">
        <w:rPr>
          <w:rFonts w:ascii="Arial" w:hAnsi="Arial" w:cs="Arial"/>
          <w:lang w:val="en-US"/>
        </w:rPr>
        <w:t>Energy storage is an important strategy for PG&amp;E, as it would enable the organization to save electricity for future use, when and where it is most needed. Energy storage creates efficiencies which allow for enhanced capabilities to improve overall electric grid value, including reducing greenhouse gases and providing mitigation strategies to climate change factors.</w:t>
      </w:r>
      <w:r w:rsidR="003721C1">
        <w:rPr>
          <w:rStyle w:val="EndnoteReference"/>
          <w:rFonts w:ascii="Arial" w:hAnsi="Arial" w:cs="Arial"/>
          <w:lang w:val="en-US"/>
        </w:rPr>
        <w:endnoteReference w:id="9"/>
      </w:r>
    </w:p>
    <w:p w14:paraId="15C522D6" w14:textId="6598F5CD" w:rsidR="002B25CB" w:rsidRPr="002B25CB" w:rsidRDefault="009528B6" w:rsidP="004953DD">
      <w:pPr>
        <w:autoSpaceDE w:val="0"/>
        <w:autoSpaceDN w:val="0"/>
        <w:adjustRightInd w:val="0"/>
        <w:spacing w:line="276" w:lineRule="auto"/>
        <w:jc w:val="both"/>
        <w:rPr>
          <w:rFonts w:ascii="Arial" w:hAnsi="Arial" w:cs="Arial"/>
          <w:lang w:val="en-US"/>
        </w:rPr>
        <w:sectPr w:rsidR="002B25CB" w:rsidRPr="002B25CB" w:rsidSect="002B25CB">
          <w:endnotePr>
            <w:numFmt w:val="decimal"/>
          </w:endnotePr>
          <w:type w:val="continuous"/>
          <w:pgSz w:w="12240" w:h="15840"/>
          <w:pgMar w:top="567" w:right="567" w:bottom="845" w:left="567" w:header="709" w:footer="397" w:gutter="0"/>
          <w:cols w:space="708"/>
          <w:docGrid w:linePitch="360"/>
        </w:sectPr>
      </w:pPr>
      <w:r>
        <w:rPr>
          <w:noProof/>
        </w:rPr>
        <mc:AlternateContent>
          <mc:Choice Requires="wps">
            <w:drawing>
              <wp:anchor distT="0" distB="0" distL="114300" distR="114300" simplePos="0" relativeHeight="251658243" behindDoc="0" locked="1" layoutInCell="1" allowOverlap="1" wp14:anchorId="5AEB68A3" wp14:editId="4CD1FDAA">
                <wp:simplePos x="0" y="0"/>
                <wp:positionH relativeFrom="column">
                  <wp:posOffset>635</wp:posOffset>
                </wp:positionH>
                <wp:positionV relativeFrom="paragraph">
                  <wp:posOffset>3745865</wp:posOffset>
                </wp:positionV>
                <wp:extent cx="7110000" cy="183600"/>
                <wp:effectExtent l="0" t="0" r="2540" b="0"/>
                <wp:wrapSquare wrapText="bothSides"/>
                <wp:docPr id="12" name="Text Box 12"/>
                <wp:cNvGraphicFramePr/>
                <a:graphic xmlns:a="http://schemas.openxmlformats.org/drawingml/2006/main">
                  <a:graphicData uri="http://schemas.microsoft.com/office/word/2010/wordprocessingShape">
                    <wps:wsp>
                      <wps:cNvSpPr txBox="1"/>
                      <wps:spPr>
                        <a:xfrm>
                          <a:off x="0" y="0"/>
                          <a:ext cx="7110000" cy="183600"/>
                        </a:xfrm>
                        <a:prstGeom prst="rect">
                          <a:avLst/>
                        </a:prstGeom>
                        <a:solidFill>
                          <a:prstClr val="white"/>
                        </a:solidFill>
                        <a:ln>
                          <a:noFill/>
                        </a:ln>
                      </wps:spPr>
                      <wps:txbx>
                        <w:txbxContent>
                          <w:p w14:paraId="3E60A42E" w14:textId="16A5A693" w:rsidR="009528B6" w:rsidRPr="00AA5F6D" w:rsidRDefault="009528B6" w:rsidP="009528B6">
                            <w:pPr>
                              <w:pStyle w:val="Caption"/>
                              <w:jc w:val="center"/>
                              <w:rPr>
                                <w:rFonts w:ascii="Times New Roman" w:eastAsia="Times New Roman" w:hAnsi="Times New Roman" w:cs="Times New Roman"/>
                                <w:noProof/>
                                <w:sz w:val="24"/>
                                <w:szCs w:val="24"/>
                              </w:rPr>
                            </w:pPr>
                            <w:r>
                              <w:t>Figure 1</w:t>
                            </w:r>
                            <w:r>
                              <w:rPr>
                                <w:noProof/>
                              </w:rPr>
                              <w:t>: Maria Fire above Santa Paula, California (AP Photo/Noah Berger)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B68A3" id="_x0000_t202" coordsize="21600,21600" o:spt="202" path="m,l,21600r21600,l21600,xe">
                <v:stroke joinstyle="miter"/>
                <v:path gradientshapeok="t" o:connecttype="rect"/>
              </v:shapetype>
              <v:shape id="Text Box 12" o:spid="_x0000_s1026" type="#_x0000_t202" style="position:absolute;left:0;text-align:left;margin-left:.05pt;margin-top:294.95pt;width:559.85pt;height:14.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" stroked="f">
                <v:textbox inset="0,0,0,0">
                  <w:txbxContent>
                    <w:p w14:paraId="3E60A42E" w14:textId="16A5A693" w:rsidR="009528B6" w:rsidRPr="00AA5F6D" w:rsidRDefault="009528B6" w:rsidP="009528B6">
                      <w:pPr>
                        <w:pStyle w:val="Caption"/>
                        <w:jc w:val="center"/>
                        <w:rPr>
                          <w:rFonts w:ascii="Times New Roman" w:eastAsia="Times New Roman" w:hAnsi="Times New Roman" w:cs="Times New Roman"/>
                          <w:noProof/>
                          <w:sz w:val="24"/>
                          <w:szCs w:val="24"/>
                        </w:rPr>
                      </w:pPr>
                      <w:r>
                        <w:t>Figure 1</w:t>
                      </w:r>
                      <w:r>
                        <w:rPr>
                          <w:noProof/>
                        </w:rPr>
                        <w:t>: Maria Fire above Santa Paula, California (AP Photo/Noah Berger)</w:t>
                      </w:r>
                    </w:p>
                  </w:txbxContent>
                </v:textbox>
                <w10:wrap type="square"/>
                <w10:anchorlock/>
              </v:shape>
            </w:pict>
          </mc:Fallback>
        </mc:AlternateContent>
      </w:r>
    </w:p>
    <w:p w14:paraId="3F216156" w14:textId="6DC2B98D" w:rsidR="002B25CB" w:rsidRPr="009528B6" w:rsidRDefault="003721C1" w:rsidP="009528B6">
      <w:pPr>
        <w:spacing w:after="0" w:line="240" w:lineRule="auto"/>
        <w:rPr>
          <w:rFonts w:ascii="Times New Roman" w:eastAsia="Times New Roman" w:hAnsi="Times New Roman" w:cs="Times New Roman"/>
          <w:sz w:val="24"/>
          <w:szCs w:val="24"/>
          <w:lang w:bidi="he-IL"/>
        </w:rPr>
        <w:sectPr w:rsidR="002B25CB" w:rsidRPr="009528B6" w:rsidSect="0086062C">
          <w:endnotePr>
            <w:numFmt w:val="decimal"/>
          </w:endnotePr>
          <w:type w:val="continuous"/>
          <w:pgSz w:w="12240" w:h="15840"/>
          <w:pgMar w:top="567" w:right="567" w:bottom="845" w:left="567" w:header="709" w:footer="397" w:gutter="0"/>
          <w:cols w:space="708"/>
          <w:docGrid w:linePitch="360"/>
        </w:sectPr>
      </w:pPr>
      <w:r w:rsidRPr="003721C1">
        <w:rPr>
          <w:rFonts w:ascii="Times New Roman" w:eastAsia="Times New Roman" w:hAnsi="Times New Roman" w:cs="Times New Roman"/>
          <w:sz w:val="24"/>
          <w:szCs w:val="24"/>
          <w:lang w:bidi="he-IL"/>
        </w:rPr>
        <w:lastRenderedPageBreak/>
        <w:fldChar w:fldCharType="begin"/>
      </w:r>
      <w:r w:rsidRPr="003721C1">
        <w:rPr>
          <w:rFonts w:ascii="Times New Roman" w:eastAsia="Times New Roman" w:hAnsi="Times New Roman" w:cs="Times New Roman"/>
          <w:sz w:val="24"/>
          <w:szCs w:val="24"/>
          <w:lang w:bidi="he-IL"/>
        </w:rPr>
        <w:instrText xml:space="preserve"> INCLUDEPICTURE "/var/folders/fs/jhtxr97s5tj944xtp_h6z32w0000gn/T/com.microsoft.Word/WebArchiveCopyPasteTempFiles/image.jpg" \* MERGEFORMATINET </w:instrText>
      </w:r>
      <w:r w:rsidR="00000000">
        <w:rPr>
          <w:rFonts w:ascii="Times New Roman" w:eastAsia="Times New Roman" w:hAnsi="Times New Roman" w:cs="Times New Roman"/>
          <w:sz w:val="24"/>
          <w:szCs w:val="24"/>
          <w:lang w:bidi="he-IL"/>
        </w:rPr>
        <w:fldChar w:fldCharType="separate"/>
      </w:r>
      <w:r w:rsidRPr="003721C1">
        <w:rPr>
          <w:rFonts w:ascii="Times New Roman" w:eastAsia="Times New Roman" w:hAnsi="Times New Roman" w:cs="Times New Roman"/>
          <w:sz w:val="24"/>
          <w:szCs w:val="24"/>
          <w:lang w:bidi="he-IL"/>
        </w:rPr>
        <w:fldChar w:fldCharType="end"/>
      </w:r>
    </w:p>
    <w:p w14:paraId="5BFF9EB8" w14:textId="39B014C4" w:rsidR="00AD09DE" w:rsidRPr="007C0CBF" w:rsidRDefault="00AD09DE" w:rsidP="00AD09DE">
      <w:pPr>
        <w:pStyle w:val="Heading1"/>
        <w:spacing w:after="240"/>
      </w:pPr>
      <w:bookmarkStart w:id="1" w:name="_Toc110685473"/>
      <w:r>
        <w:t>Corporate Risk</w:t>
      </w:r>
      <w:bookmarkEnd w:id="1"/>
    </w:p>
    <w:p w14:paraId="38081747" w14:textId="08245595" w:rsidR="00B77856" w:rsidRDefault="00B77856" w:rsidP="00333E2A">
      <w:pPr>
        <w:pStyle w:val="NoSpacing"/>
        <w:spacing w:line="276" w:lineRule="auto"/>
        <w:sectPr w:rsidR="00B77856" w:rsidSect="0086062C">
          <w:endnotePr>
            <w:numFmt w:val="decimal"/>
          </w:endnotePr>
          <w:type w:val="continuous"/>
          <w:pgSz w:w="12240" w:h="15840"/>
          <w:pgMar w:top="567" w:right="567" w:bottom="845" w:left="567" w:header="709" w:footer="397" w:gutter="0"/>
          <w:cols w:space="708"/>
          <w:docGrid w:linePitch="360"/>
        </w:sectPr>
      </w:pPr>
    </w:p>
    <w:p w14:paraId="7A18C778" w14:textId="212C114A" w:rsidR="00183E6A" w:rsidRDefault="000471D5" w:rsidP="0001147C">
      <w:pPr>
        <w:pStyle w:val="NormalWeb"/>
        <w:spacing w:before="0" w:beforeAutospacing="0" w:after="0" w:afterAutospacing="0" w:line="276" w:lineRule="auto"/>
        <w:jc w:val="both"/>
        <w:rPr>
          <w:rFonts w:ascii="Arial" w:hAnsi="Arial" w:cs="Arial"/>
          <w:b/>
          <w:bCs/>
          <w:color w:val="345A8A"/>
          <w:sz w:val="28"/>
          <w:szCs w:val="28"/>
        </w:rPr>
      </w:pPr>
      <w:r>
        <w:rPr>
          <w:rFonts w:ascii="Arial" w:hAnsi="Arial" w:cs="Arial"/>
          <w:b/>
          <w:bCs/>
          <w:color w:val="345A8A"/>
          <w:sz w:val="28"/>
          <w:szCs w:val="28"/>
        </w:rPr>
        <w:t>Background</w:t>
      </w:r>
    </w:p>
    <w:p w14:paraId="2849BB05" w14:textId="16BCE117" w:rsidR="00C26955" w:rsidRDefault="000471D5" w:rsidP="0001147C">
      <w:pPr>
        <w:pStyle w:val="NormalWeb"/>
        <w:spacing w:before="0" w:beforeAutospacing="0" w:after="0" w:afterAutospacing="0" w:line="276" w:lineRule="auto"/>
        <w:ind w:firstLine="720"/>
        <w:jc w:val="both"/>
        <w:rPr>
          <w:rFonts w:ascii="Arial" w:hAnsi="Arial" w:cs="Arial"/>
          <w:color w:val="000000"/>
          <w:sz w:val="22"/>
          <w:szCs w:val="22"/>
        </w:rPr>
      </w:pPr>
      <w:r w:rsidRPr="000471D5">
        <w:rPr>
          <w:rFonts w:ascii="Arial" w:hAnsi="Arial" w:cs="Arial"/>
          <w:color w:val="000000"/>
          <w:sz w:val="22"/>
          <w:szCs w:val="22"/>
        </w:rPr>
        <w:t>In the past decade, PG&amp;E’s aging electricity distribution infrastructure was found to be responsible for causing over 20 major incidents of wildfire.</w:t>
      </w:r>
      <w:r w:rsidR="009D4998">
        <w:rPr>
          <w:rStyle w:val="EndnoteReference"/>
          <w:rFonts w:ascii="Arial" w:hAnsi="Arial" w:cs="Arial"/>
          <w:color w:val="000000"/>
          <w:sz w:val="22"/>
          <w:szCs w:val="22"/>
        </w:rPr>
        <w:endnoteReference w:id="10"/>
      </w:r>
      <w:r w:rsidR="009D4998">
        <w:rPr>
          <w:rFonts w:ascii="Arial" w:hAnsi="Arial" w:cs="Arial"/>
          <w:color w:val="000000"/>
          <w:sz w:val="22"/>
          <w:szCs w:val="22"/>
        </w:rPr>
        <w:t xml:space="preserve"> </w:t>
      </w:r>
      <w:r w:rsidRPr="000471D5">
        <w:rPr>
          <w:rFonts w:ascii="Arial" w:hAnsi="Arial" w:cs="Arial"/>
          <w:color w:val="000000"/>
          <w:sz w:val="22"/>
          <w:szCs w:val="22"/>
        </w:rPr>
        <w:t>As a result, PG&amp;E filed for Chapter 11 bankruptcy on January 29, 2019.</w:t>
      </w:r>
      <w:r w:rsidR="009D4998">
        <w:rPr>
          <w:rStyle w:val="EndnoteReference"/>
          <w:rFonts w:ascii="Arial" w:hAnsi="Arial" w:cs="Arial"/>
          <w:color w:val="000000"/>
          <w:sz w:val="22"/>
          <w:szCs w:val="22"/>
        </w:rPr>
        <w:endnoteReference w:id="11"/>
      </w:r>
      <w:r w:rsidR="003721C1">
        <w:rPr>
          <w:rFonts w:ascii="Arial" w:hAnsi="Arial" w:cs="Arial"/>
          <w:color w:val="000000"/>
          <w:sz w:val="22"/>
          <w:szCs w:val="22"/>
        </w:rPr>
        <w:t xml:space="preserve"> </w:t>
      </w:r>
      <w:r w:rsidRPr="000471D5">
        <w:rPr>
          <w:rFonts w:ascii="Arial" w:hAnsi="Arial" w:cs="Arial"/>
          <w:color w:val="000000"/>
          <w:sz w:val="22"/>
          <w:szCs w:val="22"/>
        </w:rPr>
        <w:t>During its bankruptcy period, PG&amp;E reached a court-approved settlement with wildfire victims for $13.5 billion.</w:t>
      </w:r>
      <w:r w:rsidR="009D4998">
        <w:rPr>
          <w:rStyle w:val="EndnoteReference"/>
          <w:rFonts w:ascii="Arial" w:hAnsi="Arial" w:cs="Arial"/>
          <w:color w:val="000000"/>
          <w:sz w:val="22"/>
          <w:szCs w:val="22"/>
        </w:rPr>
        <w:endnoteReference w:id="12"/>
      </w:r>
      <w:r w:rsidR="009D4998">
        <w:rPr>
          <w:rFonts w:ascii="Arial" w:hAnsi="Arial" w:cs="Arial"/>
          <w:color w:val="000000"/>
          <w:sz w:val="22"/>
          <w:szCs w:val="22"/>
        </w:rPr>
        <w:t xml:space="preserve"> </w:t>
      </w:r>
      <w:r w:rsidRPr="000471D5">
        <w:rPr>
          <w:rFonts w:ascii="Arial" w:hAnsi="Arial" w:cs="Arial"/>
          <w:color w:val="000000"/>
          <w:sz w:val="22"/>
          <w:szCs w:val="22"/>
        </w:rPr>
        <w:t>It is important to note that this settlement only covers PG&amp;E’s liability arising from wildfires that occurred prior to and including the 2018 Camp Fire.</w:t>
      </w:r>
      <w:r w:rsidR="009D4998">
        <w:rPr>
          <w:rStyle w:val="EndnoteReference"/>
          <w:rFonts w:ascii="Arial" w:hAnsi="Arial" w:cs="Arial"/>
          <w:color w:val="000000"/>
          <w:sz w:val="22"/>
          <w:szCs w:val="22"/>
        </w:rPr>
        <w:endnoteReference w:id="13"/>
      </w:r>
      <w:r w:rsidR="009D4998">
        <w:rPr>
          <w:rFonts w:ascii="Arial" w:hAnsi="Arial" w:cs="Arial"/>
          <w:color w:val="000000"/>
          <w:sz w:val="22"/>
          <w:szCs w:val="22"/>
        </w:rPr>
        <w:t xml:space="preserve"> </w:t>
      </w:r>
      <w:r w:rsidRPr="000471D5">
        <w:rPr>
          <w:rFonts w:ascii="Arial" w:hAnsi="Arial" w:cs="Arial"/>
          <w:color w:val="000000"/>
          <w:sz w:val="22"/>
          <w:szCs w:val="22"/>
        </w:rPr>
        <w:t>Unfortunately,</w:t>
      </w:r>
      <w:r w:rsidR="003721C1">
        <w:rPr>
          <w:rFonts w:ascii="Arial" w:hAnsi="Arial" w:cs="Arial"/>
          <w:color w:val="000000"/>
          <w:sz w:val="22"/>
          <w:szCs w:val="22"/>
        </w:rPr>
        <w:t xml:space="preserve"> </w:t>
      </w:r>
      <w:r w:rsidRPr="000471D5">
        <w:rPr>
          <w:rFonts w:ascii="Arial" w:hAnsi="Arial" w:cs="Arial"/>
          <w:color w:val="000000"/>
          <w:sz w:val="22"/>
          <w:szCs w:val="22"/>
        </w:rPr>
        <w:t>PG&amp;E continues to be plagued by wildfire liability issues after the settlement. The continued presence of significant financial liability issues has also hampered the company’s creditworthiness and market valuation of its securities.</w:t>
      </w:r>
    </w:p>
    <w:p w14:paraId="0502F1F2" w14:textId="77777777" w:rsidR="000471D5" w:rsidRDefault="000471D5" w:rsidP="0001147C">
      <w:pPr>
        <w:pStyle w:val="NormalWeb"/>
        <w:spacing w:before="0" w:beforeAutospacing="0" w:after="0" w:afterAutospacing="0" w:line="276" w:lineRule="auto"/>
        <w:ind w:firstLine="720"/>
        <w:jc w:val="both"/>
        <w:rPr>
          <w:rFonts w:ascii="Arial" w:hAnsi="Arial" w:cs="Arial"/>
          <w:color w:val="000000"/>
          <w:sz w:val="22"/>
          <w:szCs w:val="22"/>
        </w:rPr>
      </w:pPr>
    </w:p>
    <w:p w14:paraId="0B3C1696" w14:textId="3273E54C" w:rsidR="00B424FD" w:rsidRDefault="000471D5" w:rsidP="0001147C">
      <w:pPr>
        <w:pStyle w:val="NormalWeb"/>
        <w:spacing w:before="0" w:beforeAutospacing="0" w:after="0" w:afterAutospacing="0" w:line="276" w:lineRule="auto"/>
        <w:jc w:val="both"/>
        <w:rPr>
          <w:rFonts w:ascii="Arial" w:hAnsi="Arial" w:cs="Arial"/>
          <w:b/>
          <w:bCs/>
          <w:color w:val="345A8A"/>
          <w:sz w:val="28"/>
          <w:szCs w:val="28"/>
        </w:rPr>
      </w:pPr>
      <w:r>
        <w:rPr>
          <w:rFonts w:ascii="Arial" w:hAnsi="Arial" w:cs="Arial"/>
          <w:b/>
          <w:bCs/>
          <w:color w:val="345A8A"/>
          <w:sz w:val="28"/>
          <w:szCs w:val="28"/>
        </w:rPr>
        <w:t>Credit Risks</w:t>
      </w:r>
    </w:p>
    <w:p w14:paraId="1DB9B07B" w14:textId="7D932C40" w:rsidR="00C26955" w:rsidRDefault="000471D5" w:rsidP="0001147C">
      <w:pPr>
        <w:pStyle w:val="NormalWeb"/>
        <w:spacing w:before="0" w:beforeAutospacing="0" w:after="0" w:afterAutospacing="0" w:line="276" w:lineRule="auto"/>
        <w:ind w:firstLine="720"/>
        <w:jc w:val="both"/>
        <w:rPr>
          <w:rFonts w:ascii="Arial" w:hAnsi="Arial" w:cs="Arial"/>
          <w:color w:val="000000"/>
          <w:sz w:val="22"/>
          <w:szCs w:val="22"/>
        </w:rPr>
      </w:pPr>
      <w:r w:rsidRPr="000471D5">
        <w:rPr>
          <w:rFonts w:ascii="Arial" w:hAnsi="Arial" w:cs="Arial"/>
          <w:color w:val="000000"/>
          <w:sz w:val="22"/>
          <w:szCs w:val="22"/>
        </w:rPr>
        <w:t>Investors have not been the only ones that fear the risk of default and increased liabilities on PG&amp;E, as their credit ratings indicate a caution to lenders. The evidence for this:</w:t>
      </w:r>
      <w:r w:rsidR="0001147C">
        <w:rPr>
          <w:rFonts w:ascii="Arial" w:hAnsi="Arial" w:cs="Arial"/>
          <w:color w:val="000000"/>
          <w:sz w:val="22"/>
          <w:szCs w:val="22"/>
        </w:rPr>
        <w:t xml:space="preserve"> </w:t>
      </w:r>
      <w:r w:rsidRPr="000471D5">
        <w:rPr>
          <w:rFonts w:ascii="Arial" w:hAnsi="Arial" w:cs="Arial"/>
          <w:color w:val="000000"/>
          <w:sz w:val="22"/>
          <w:szCs w:val="22"/>
        </w:rPr>
        <w:t>Fitch Ratings gave “PG&amp;E Corporation's and Pacific Gas and Electric Company's Issuer Default Ratings at 'BB'/Stable.”</w:t>
      </w:r>
      <w:r w:rsidR="009D4998">
        <w:rPr>
          <w:rStyle w:val="EndnoteReference"/>
          <w:rFonts w:ascii="Arial" w:hAnsi="Arial" w:cs="Arial"/>
          <w:color w:val="000000"/>
          <w:sz w:val="22"/>
          <w:szCs w:val="22"/>
        </w:rPr>
        <w:endnoteReference w:id="14"/>
      </w:r>
      <w:r w:rsidR="009D4998">
        <w:rPr>
          <w:rFonts w:ascii="Arial" w:hAnsi="Arial" w:cs="Arial"/>
          <w:color w:val="000000"/>
          <w:sz w:val="22"/>
          <w:szCs w:val="22"/>
        </w:rPr>
        <w:t xml:space="preserve"> </w:t>
      </w:r>
      <w:r w:rsidRPr="000471D5">
        <w:rPr>
          <w:rFonts w:ascii="Arial" w:hAnsi="Arial" w:cs="Arial"/>
          <w:color w:val="000000"/>
          <w:sz w:val="22"/>
          <w:szCs w:val="22"/>
        </w:rPr>
        <w:t>The above insinuates there may be “elevated vulnerability to default risk, particularly in the event of adverse changes in business or economic conditions over time.”</w:t>
      </w:r>
      <w:r w:rsidR="009D4998">
        <w:rPr>
          <w:rStyle w:val="EndnoteReference"/>
          <w:rFonts w:ascii="Arial" w:hAnsi="Arial" w:cs="Arial"/>
          <w:color w:val="000000"/>
          <w:sz w:val="22"/>
          <w:szCs w:val="22"/>
        </w:rPr>
        <w:endnoteReference w:id="15"/>
      </w:r>
      <w:r w:rsidRPr="000471D5">
        <w:rPr>
          <w:rFonts w:ascii="Arial" w:hAnsi="Arial" w:cs="Arial"/>
          <w:color w:val="000000"/>
          <w:sz w:val="22"/>
          <w:szCs w:val="22"/>
        </w:rPr>
        <w:t xml:space="preserve"> Default risk, alongside the fact that there was an increase in PG&amp;E’s credit facility from $2.2 billion in Q3 of 2020 to $2.9 billion in Q3 2021, may impact of financial commitments on PG&amp;E are growing substantially.</w:t>
      </w:r>
      <w:r w:rsidR="009D4998">
        <w:rPr>
          <w:rStyle w:val="EndnoteReference"/>
          <w:rFonts w:ascii="Arial" w:hAnsi="Arial" w:cs="Arial"/>
          <w:color w:val="000000"/>
          <w:sz w:val="22"/>
          <w:szCs w:val="22"/>
        </w:rPr>
        <w:endnoteReference w:id="16"/>
      </w:r>
    </w:p>
    <w:p w14:paraId="7537A647" w14:textId="77777777" w:rsidR="000471D5" w:rsidRDefault="000471D5" w:rsidP="0001147C">
      <w:pPr>
        <w:pStyle w:val="NormalWeb"/>
        <w:spacing w:before="0" w:beforeAutospacing="0" w:after="0" w:afterAutospacing="0" w:line="276" w:lineRule="auto"/>
        <w:ind w:firstLine="720"/>
        <w:jc w:val="both"/>
        <w:rPr>
          <w:rFonts w:ascii="Arial" w:hAnsi="Arial" w:cs="Arial"/>
          <w:color w:val="000000"/>
          <w:sz w:val="22"/>
          <w:szCs w:val="22"/>
        </w:rPr>
      </w:pPr>
    </w:p>
    <w:p w14:paraId="66850D70" w14:textId="28550E34" w:rsidR="00C26955" w:rsidRDefault="000471D5" w:rsidP="0001147C">
      <w:pPr>
        <w:pStyle w:val="NormalWeb"/>
        <w:spacing w:before="0" w:beforeAutospacing="0" w:after="0" w:afterAutospacing="0" w:line="276" w:lineRule="auto"/>
        <w:jc w:val="both"/>
        <w:rPr>
          <w:rFonts w:ascii="Arial" w:hAnsi="Arial" w:cs="Arial"/>
          <w:b/>
          <w:bCs/>
          <w:color w:val="345A8A"/>
          <w:sz w:val="28"/>
          <w:szCs w:val="28"/>
        </w:rPr>
      </w:pPr>
      <w:r>
        <w:rPr>
          <w:rFonts w:ascii="Arial" w:hAnsi="Arial" w:cs="Arial"/>
          <w:b/>
          <w:bCs/>
          <w:color w:val="345A8A"/>
          <w:sz w:val="28"/>
          <w:szCs w:val="28"/>
        </w:rPr>
        <w:t>Financial Risk (Liability Arising from post-Camp Wildfires)</w:t>
      </w:r>
    </w:p>
    <w:p w14:paraId="1F075956" w14:textId="673C67AB" w:rsidR="0001147C" w:rsidRDefault="000471D5" w:rsidP="0001147C">
      <w:pPr>
        <w:pStyle w:val="NormalWeb"/>
        <w:spacing w:before="0" w:beforeAutospacing="0" w:after="0" w:afterAutospacing="0" w:line="276" w:lineRule="auto"/>
        <w:ind w:firstLine="720"/>
        <w:jc w:val="both"/>
        <w:rPr>
          <w:rFonts w:ascii="Arial" w:hAnsi="Arial" w:cs="Arial"/>
          <w:color w:val="000000"/>
          <w:sz w:val="22"/>
          <w:szCs w:val="22"/>
        </w:rPr>
      </w:pPr>
      <w:r w:rsidRPr="000471D5">
        <w:rPr>
          <w:rFonts w:ascii="Arial" w:hAnsi="Arial" w:cs="Arial"/>
          <w:color w:val="000000"/>
          <w:sz w:val="22"/>
          <w:szCs w:val="22"/>
        </w:rPr>
        <w:t>The Doctrine of Inverse Condemnation “entitles property owners to compensation if their property is damaged by a public use.”</w:t>
      </w:r>
      <w:r w:rsidR="009D4998">
        <w:rPr>
          <w:rStyle w:val="EndnoteReference"/>
          <w:rFonts w:ascii="Arial" w:hAnsi="Arial" w:cs="Arial"/>
          <w:color w:val="000000"/>
          <w:sz w:val="22"/>
          <w:szCs w:val="22"/>
        </w:rPr>
        <w:endnoteReference w:id="17"/>
      </w:r>
      <w:r w:rsidR="009D4998">
        <w:rPr>
          <w:rFonts w:ascii="Arial" w:hAnsi="Arial" w:cs="Arial"/>
          <w:color w:val="000000"/>
          <w:sz w:val="22"/>
          <w:szCs w:val="22"/>
        </w:rPr>
        <w:t xml:space="preserve"> </w:t>
      </w:r>
      <w:r w:rsidRPr="000471D5">
        <w:rPr>
          <w:rFonts w:ascii="Arial" w:hAnsi="Arial" w:cs="Arial"/>
          <w:color w:val="000000"/>
          <w:sz w:val="22"/>
          <w:szCs w:val="22"/>
        </w:rPr>
        <w:t xml:space="preserve">In 1885, the California Supreme Court held that inverse condemnation applies even in situations where only tangential harm is done to private properties. In </w:t>
      </w:r>
      <w:r w:rsidRPr="003E2CEA">
        <w:rPr>
          <w:rFonts w:ascii="Arial" w:hAnsi="Arial" w:cs="Arial"/>
          <w:i/>
          <w:iCs/>
          <w:color w:val="000000"/>
          <w:sz w:val="22"/>
          <w:szCs w:val="22"/>
        </w:rPr>
        <w:t>Barham v. Southern California Edison Company (1999) 74 Cal. App 4th 744</w:t>
      </w:r>
      <w:r w:rsidRPr="000471D5">
        <w:rPr>
          <w:rFonts w:ascii="Arial" w:hAnsi="Arial" w:cs="Arial"/>
          <w:color w:val="000000"/>
          <w:sz w:val="22"/>
          <w:szCs w:val="22"/>
        </w:rPr>
        <w:t xml:space="preserve">, the California Supreme Court specifically determined that investor-owned utility companies, like PG&amp;E, are liable </w:t>
      </w:r>
      <w:r w:rsidRPr="000471D5">
        <w:rPr>
          <w:rFonts w:ascii="Arial" w:hAnsi="Arial" w:cs="Arial"/>
          <w:color w:val="000000"/>
          <w:sz w:val="22"/>
          <w:szCs w:val="22"/>
        </w:rPr>
        <w:t>for damages caused from wildfires under inverse condemnation.</w:t>
      </w:r>
      <w:r w:rsidR="003E2CEA">
        <w:rPr>
          <w:rStyle w:val="EndnoteReference"/>
          <w:rFonts w:ascii="Arial" w:hAnsi="Arial" w:cs="Arial"/>
          <w:color w:val="000000"/>
          <w:sz w:val="22"/>
          <w:szCs w:val="22"/>
        </w:rPr>
        <w:endnoteReference w:id="18"/>
      </w:r>
      <w:r w:rsidR="003E2CEA">
        <w:rPr>
          <w:rFonts w:ascii="Arial" w:hAnsi="Arial" w:cs="Arial"/>
          <w:color w:val="000000"/>
          <w:sz w:val="22"/>
          <w:szCs w:val="22"/>
        </w:rPr>
        <w:t xml:space="preserve"> </w:t>
      </w:r>
      <w:r w:rsidRPr="000471D5">
        <w:rPr>
          <w:rFonts w:ascii="Arial" w:hAnsi="Arial" w:cs="Arial"/>
          <w:color w:val="000000"/>
          <w:sz w:val="22"/>
          <w:szCs w:val="22"/>
        </w:rPr>
        <w:t>The application of this doctrine worsens PG&amp;E’s liability position in three distinct ways. First, under inverse condemnation, PG&amp;E is held to a strict liability standard – as long as a fire is caused by PG&amp;E’s equipment, it is liable for damages even if it did not behave negligently.</w:t>
      </w:r>
      <w:r w:rsidR="003E2CEA">
        <w:rPr>
          <w:rStyle w:val="EndnoteReference"/>
          <w:rFonts w:ascii="Arial" w:hAnsi="Arial" w:cs="Arial"/>
          <w:color w:val="000000"/>
          <w:sz w:val="22"/>
          <w:szCs w:val="22"/>
        </w:rPr>
        <w:endnoteReference w:id="19"/>
      </w:r>
      <w:r w:rsidR="003E2CEA">
        <w:rPr>
          <w:rFonts w:ascii="Arial" w:hAnsi="Arial" w:cs="Arial"/>
          <w:color w:val="000000"/>
          <w:sz w:val="22"/>
          <w:szCs w:val="22"/>
        </w:rPr>
        <w:t xml:space="preserve"> </w:t>
      </w:r>
      <w:r w:rsidRPr="000471D5">
        <w:rPr>
          <w:rFonts w:ascii="Arial" w:hAnsi="Arial" w:cs="Arial"/>
          <w:color w:val="000000"/>
          <w:sz w:val="22"/>
          <w:szCs w:val="22"/>
        </w:rPr>
        <w:t xml:space="preserve">Second, according to the </w:t>
      </w:r>
      <w:r w:rsidRPr="003E2CEA">
        <w:rPr>
          <w:rFonts w:ascii="Arial" w:hAnsi="Arial" w:cs="Arial"/>
          <w:i/>
          <w:iCs/>
          <w:color w:val="000000"/>
          <w:sz w:val="22"/>
          <w:szCs w:val="22"/>
        </w:rPr>
        <w:t>California Code of Civil Procedure</w:t>
      </w:r>
      <w:r w:rsidRPr="000471D5">
        <w:rPr>
          <w:rFonts w:ascii="Arial" w:hAnsi="Arial" w:cs="Arial"/>
          <w:color w:val="000000"/>
          <w:sz w:val="22"/>
          <w:szCs w:val="22"/>
        </w:rPr>
        <w:t>, “in inverse condemnation lawsuits, PG&amp;E must pay the plaintiff’s attorney’s fees” – thus incentivizing victims to litigate.</w:t>
      </w:r>
      <w:r w:rsidR="003E2CEA">
        <w:rPr>
          <w:rStyle w:val="EndnoteReference"/>
          <w:rFonts w:ascii="Arial" w:hAnsi="Arial" w:cs="Arial"/>
          <w:color w:val="000000"/>
          <w:sz w:val="22"/>
          <w:szCs w:val="22"/>
        </w:rPr>
        <w:endnoteReference w:id="20"/>
      </w:r>
      <w:r w:rsidRPr="000471D5">
        <w:rPr>
          <w:rFonts w:ascii="Arial" w:hAnsi="Arial" w:cs="Arial"/>
          <w:color w:val="000000"/>
          <w:sz w:val="22"/>
          <w:szCs w:val="22"/>
        </w:rPr>
        <w:t xml:space="preserve">  Lastly, inverse condemnation also enlarges the scope of PG&amp;E’s liability, as it provides a remedy for mere “tangential harm” to properties, as noted above.</w:t>
      </w:r>
    </w:p>
    <w:p w14:paraId="58998A1D" w14:textId="227B551A" w:rsidR="0001147C" w:rsidRDefault="000471D5" w:rsidP="0001147C">
      <w:pPr>
        <w:pStyle w:val="NormalWeb"/>
        <w:spacing w:before="0" w:beforeAutospacing="0" w:after="0" w:afterAutospacing="0" w:line="276" w:lineRule="auto"/>
        <w:ind w:firstLine="720"/>
        <w:jc w:val="both"/>
        <w:rPr>
          <w:rFonts w:ascii="Arial" w:hAnsi="Arial" w:cs="Arial"/>
          <w:color w:val="000000"/>
          <w:sz w:val="22"/>
          <w:szCs w:val="22"/>
        </w:rPr>
      </w:pPr>
      <w:r w:rsidRPr="003E2CEA">
        <w:rPr>
          <w:rFonts w:ascii="Arial" w:hAnsi="Arial" w:cs="Arial"/>
          <w:color w:val="000000"/>
          <w:sz w:val="22"/>
          <w:szCs w:val="22"/>
          <w:u w:val="single"/>
        </w:rPr>
        <w:t>The 2019 Kincade Fire</w:t>
      </w:r>
      <w:r w:rsidRPr="000471D5">
        <w:rPr>
          <w:rFonts w:ascii="Arial" w:hAnsi="Arial" w:cs="Arial"/>
          <w:color w:val="000000"/>
          <w:sz w:val="22"/>
          <w:szCs w:val="22"/>
        </w:rPr>
        <w:t xml:space="preserve"> burned over 77,000 acres, destroyed nearly 400 structures, and led to one of the largest evacuations in the region’s history.</w:t>
      </w:r>
      <w:r w:rsidR="003E2CEA">
        <w:rPr>
          <w:rStyle w:val="EndnoteReference"/>
          <w:rFonts w:ascii="Arial" w:hAnsi="Arial" w:cs="Arial"/>
          <w:color w:val="000000"/>
          <w:sz w:val="22"/>
          <w:szCs w:val="22"/>
        </w:rPr>
        <w:endnoteReference w:id="21"/>
      </w:r>
      <w:r w:rsidRPr="000471D5">
        <w:rPr>
          <w:rFonts w:ascii="Arial" w:hAnsi="Arial" w:cs="Arial"/>
          <w:color w:val="000000"/>
          <w:sz w:val="22"/>
          <w:szCs w:val="22"/>
        </w:rPr>
        <w:t xml:space="preserve">  Moreover, the malfunctioning of a PG&amp;E transmission tower was responsible for causing the fire. Liability lawsuits against PG&amp;E were subsequently filed by local governments, residents, and businesses.</w:t>
      </w:r>
      <w:r w:rsidR="003E2CEA">
        <w:rPr>
          <w:rStyle w:val="EndnoteReference"/>
          <w:rFonts w:ascii="Arial" w:hAnsi="Arial" w:cs="Arial"/>
          <w:color w:val="000000"/>
          <w:sz w:val="22"/>
          <w:szCs w:val="22"/>
        </w:rPr>
        <w:endnoteReference w:id="22"/>
      </w:r>
      <w:r w:rsidR="003E2CEA">
        <w:rPr>
          <w:rFonts w:ascii="Arial" w:hAnsi="Arial" w:cs="Arial"/>
          <w:color w:val="000000"/>
          <w:sz w:val="22"/>
          <w:szCs w:val="22"/>
        </w:rPr>
        <w:t xml:space="preserve"> </w:t>
      </w:r>
      <w:r w:rsidRPr="000471D5">
        <w:rPr>
          <w:rFonts w:ascii="Arial" w:hAnsi="Arial" w:cs="Arial"/>
          <w:color w:val="000000"/>
          <w:sz w:val="22"/>
          <w:szCs w:val="22"/>
        </w:rPr>
        <w:t>The company ultimately settled with local governments for $125 million. However, class-action applications initiated by affected residents and businesses under inverse condemnation are still ongoing. PG&amp;E is estimated to be liable for at least $600 million in damages.</w:t>
      </w:r>
      <w:r w:rsidR="003E2CEA">
        <w:rPr>
          <w:rStyle w:val="EndnoteReference"/>
          <w:rFonts w:ascii="Arial" w:hAnsi="Arial" w:cs="Arial"/>
          <w:color w:val="000000"/>
          <w:sz w:val="22"/>
          <w:szCs w:val="22"/>
        </w:rPr>
        <w:endnoteReference w:id="23"/>
      </w:r>
    </w:p>
    <w:p w14:paraId="7A0B8F2A" w14:textId="144FCDE4" w:rsidR="0001147C" w:rsidRDefault="000471D5" w:rsidP="0001147C">
      <w:pPr>
        <w:pStyle w:val="NormalWeb"/>
        <w:spacing w:before="0" w:beforeAutospacing="0" w:after="0" w:afterAutospacing="0" w:line="276" w:lineRule="auto"/>
        <w:ind w:firstLine="720"/>
        <w:jc w:val="both"/>
        <w:rPr>
          <w:rFonts w:ascii="Arial" w:hAnsi="Arial" w:cs="Arial"/>
          <w:color w:val="000000"/>
          <w:sz w:val="22"/>
          <w:szCs w:val="22"/>
        </w:rPr>
      </w:pPr>
      <w:r w:rsidRPr="003E2CEA">
        <w:rPr>
          <w:rFonts w:ascii="Arial" w:hAnsi="Arial" w:cs="Arial"/>
          <w:color w:val="000000"/>
          <w:sz w:val="22"/>
          <w:szCs w:val="22"/>
          <w:u w:val="single"/>
        </w:rPr>
        <w:t xml:space="preserve">The 2020 </w:t>
      </w:r>
      <w:proofErr w:type="spellStart"/>
      <w:r w:rsidRPr="003E2CEA">
        <w:rPr>
          <w:rFonts w:ascii="Arial" w:hAnsi="Arial" w:cs="Arial"/>
          <w:color w:val="000000"/>
          <w:sz w:val="22"/>
          <w:szCs w:val="22"/>
          <w:u w:val="single"/>
        </w:rPr>
        <w:t>Zogg</w:t>
      </w:r>
      <w:proofErr w:type="spellEnd"/>
      <w:r w:rsidRPr="003E2CEA">
        <w:rPr>
          <w:rFonts w:ascii="Arial" w:hAnsi="Arial" w:cs="Arial"/>
          <w:color w:val="000000"/>
          <w:sz w:val="22"/>
          <w:szCs w:val="22"/>
          <w:u w:val="single"/>
        </w:rPr>
        <w:t xml:space="preserve"> Fire</w:t>
      </w:r>
      <w:r w:rsidRPr="000471D5">
        <w:rPr>
          <w:rFonts w:ascii="Arial" w:hAnsi="Arial" w:cs="Arial"/>
          <w:color w:val="000000"/>
          <w:sz w:val="22"/>
          <w:szCs w:val="22"/>
        </w:rPr>
        <w:t xml:space="preserve"> burned over 56,000 acres, destroyed over 200 structures, and caused 4 deaths.</w:t>
      </w:r>
      <w:r w:rsidR="003E2CEA">
        <w:rPr>
          <w:rStyle w:val="EndnoteReference"/>
          <w:rFonts w:ascii="Arial" w:hAnsi="Arial" w:cs="Arial"/>
          <w:color w:val="000000"/>
          <w:sz w:val="22"/>
          <w:szCs w:val="22"/>
        </w:rPr>
        <w:endnoteReference w:id="24"/>
      </w:r>
      <w:r w:rsidRPr="000471D5">
        <w:rPr>
          <w:rFonts w:ascii="Arial" w:hAnsi="Arial" w:cs="Arial"/>
          <w:color w:val="000000"/>
          <w:sz w:val="22"/>
          <w:szCs w:val="22"/>
        </w:rPr>
        <w:t xml:space="preserve">  The fire was sparked by a falling pine tree contacting PG&amp;E’s electrical lines. The Shasta County District Attorney has laid 31 criminal charges, including 4 counts of manslaughter, against PG&amp;E. In addition to these criminal charges, the company admits on its Form 10-K filing with the SEC that it will likely be found civilly liable for property damages caused by the fire.</w:t>
      </w:r>
      <w:r w:rsidR="003E2CEA">
        <w:rPr>
          <w:rStyle w:val="EndnoteReference"/>
          <w:rFonts w:ascii="Arial" w:hAnsi="Arial" w:cs="Arial"/>
          <w:color w:val="000000"/>
          <w:sz w:val="22"/>
          <w:szCs w:val="22"/>
        </w:rPr>
        <w:endnoteReference w:id="25"/>
      </w:r>
    </w:p>
    <w:p w14:paraId="1D062F04" w14:textId="3013936D" w:rsidR="000471D5" w:rsidRPr="000471D5" w:rsidRDefault="000471D5" w:rsidP="0001147C">
      <w:pPr>
        <w:pStyle w:val="NormalWeb"/>
        <w:spacing w:before="0" w:beforeAutospacing="0" w:after="0" w:afterAutospacing="0" w:line="276" w:lineRule="auto"/>
        <w:ind w:firstLine="720"/>
        <w:jc w:val="both"/>
        <w:rPr>
          <w:rFonts w:ascii="Arial" w:hAnsi="Arial" w:cs="Arial"/>
          <w:color w:val="000000"/>
          <w:sz w:val="22"/>
          <w:szCs w:val="22"/>
        </w:rPr>
      </w:pPr>
      <w:r w:rsidRPr="003E2CEA">
        <w:rPr>
          <w:rFonts w:ascii="Arial" w:hAnsi="Arial" w:cs="Arial"/>
          <w:color w:val="000000"/>
          <w:sz w:val="22"/>
          <w:szCs w:val="22"/>
          <w:u w:val="single"/>
        </w:rPr>
        <w:t>The 2021 Dixie Fire</w:t>
      </w:r>
      <w:r w:rsidRPr="000471D5">
        <w:rPr>
          <w:rFonts w:ascii="Arial" w:hAnsi="Arial" w:cs="Arial"/>
          <w:color w:val="000000"/>
          <w:sz w:val="22"/>
          <w:szCs w:val="22"/>
        </w:rPr>
        <w:t xml:space="preserve"> was the second-largest wildfire in California’s history. It burned over 960,000 acres and destroyed upwards of 1,300 structures. Cal Fire investigators announced on January 4th, 2022 that the fire was, once again, caused by PG&amp;E’s equipment. It is estimated that PG&amp;E will be liable for at least $1.15 billion in damages. The company’s most recent 10-Q SEC filing suggests that they expect the California </w:t>
      </w:r>
      <w:r w:rsidRPr="000471D5">
        <w:rPr>
          <w:rFonts w:ascii="Arial" w:hAnsi="Arial" w:cs="Arial"/>
          <w:color w:val="000000"/>
          <w:sz w:val="22"/>
          <w:szCs w:val="22"/>
        </w:rPr>
        <w:lastRenderedPageBreak/>
        <w:t>Wildfire Fund and its own private insurance to cover most of the liabilities related to the Dixie Fire.</w:t>
      </w:r>
    </w:p>
    <w:p w14:paraId="5AF84599" w14:textId="1BB5D778" w:rsidR="00DA2219" w:rsidRDefault="000471D5" w:rsidP="0001147C">
      <w:pPr>
        <w:pStyle w:val="NormalWeb"/>
        <w:spacing w:before="0" w:beforeAutospacing="0" w:after="0" w:afterAutospacing="0" w:line="276" w:lineRule="auto"/>
        <w:ind w:firstLine="720"/>
        <w:jc w:val="both"/>
        <w:rPr>
          <w:rFonts w:ascii="Arial" w:hAnsi="Arial" w:cs="Arial"/>
          <w:color w:val="000000"/>
          <w:sz w:val="22"/>
          <w:szCs w:val="22"/>
        </w:rPr>
      </w:pPr>
      <w:r w:rsidRPr="003E2CEA">
        <w:rPr>
          <w:rFonts w:ascii="Arial" w:hAnsi="Arial" w:cs="Arial"/>
          <w:color w:val="000000"/>
          <w:sz w:val="22"/>
          <w:szCs w:val="22"/>
          <w:u w:val="single"/>
        </w:rPr>
        <w:t>The California Wildfire Fund</w:t>
      </w:r>
      <w:r w:rsidRPr="000471D5">
        <w:rPr>
          <w:rFonts w:ascii="Arial" w:hAnsi="Arial" w:cs="Arial"/>
          <w:color w:val="000000"/>
          <w:sz w:val="22"/>
          <w:szCs w:val="22"/>
        </w:rPr>
        <w:t xml:space="preserve"> is a liability fund established by the California State Assembly in 2019 with $21 billion to “help utilities cover the liability costs of major wildfires started by their equipment.”</w:t>
      </w:r>
      <w:r w:rsidR="003E2CEA">
        <w:rPr>
          <w:rStyle w:val="EndnoteReference"/>
          <w:rFonts w:ascii="Arial" w:hAnsi="Arial" w:cs="Arial"/>
          <w:color w:val="000000"/>
          <w:sz w:val="22"/>
          <w:szCs w:val="22"/>
        </w:rPr>
        <w:endnoteReference w:id="26"/>
      </w:r>
      <w:r w:rsidRPr="000471D5">
        <w:rPr>
          <w:rFonts w:ascii="Arial" w:hAnsi="Arial" w:cs="Arial"/>
          <w:color w:val="000000"/>
          <w:sz w:val="22"/>
          <w:szCs w:val="22"/>
        </w:rPr>
        <w:t xml:space="preserve"> However, according to </w:t>
      </w:r>
      <w:r w:rsidRPr="003E2CEA">
        <w:rPr>
          <w:rFonts w:ascii="Arial" w:hAnsi="Arial" w:cs="Arial"/>
          <w:i/>
          <w:iCs/>
          <w:color w:val="000000"/>
          <w:sz w:val="22"/>
          <w:szCs w:val="22"/>
        </w:rPr>
        <w:t>Assembly Bill 1054</w:t>
      </w:r>
      <w:r w:rsidRPr="000471D5">
        <w:rPr>
          <w:rFonts w:ascii="Arial" w:hAnsi="Arial" w:cs="Arial"/>
          <w:color w:val="000000"/>
          <w:sz w:val="22"/>
          <w:szCs w:val="22"/>
        </w:rPr>
        <w:t xml:space="preserve">, the enabling legislation of the fund, access to the fund is contingent on maintaining a valid safety certification pursuant to the </w:t>
      </w:r>
      <w:r w:rsidRPr="003E2CEA">
        <w:rPr>
          <w:rFonts w:ascii="Arial" w:hAnsi="Arial" w:cs="Arial"/>
          <w:i/>
          <w:iCs/>
          <w:color w:val="000000"/>
          <w:sz w:val="22"/>
          <w:szCs w:val="22"/>
        </w:rPr>
        <w:t>California Public Utilities Code</w:t>
      </w:r>
      <w:r w:rsidRPr="000471D5">
        <w:rPr>
          <w:rFonts w:ascii="Arial" w:hAnsi="Arial" w:cs="Arial"/>
          <w:color w:val="000000"/>
          <w:sz w:val="22"/>
          <w:szCs w:val="22"/>
        </w:rPr>
        <w:t>. At the time of writing, the California Public Utilities Commission (CPUC) has initiated proceedings to revoke PG&amp;E’s safety certification. Therefore, it is unclear whether PG&amp;E will be able to access the fund to resolve all the instances of liabilities.</w:t>
      </w:r>
    </w:p>
    <w:p w14:paraId="0EC0E6FF" w14:textId="5E36432D" w:rsidR="00B36023" w:rsidRPr="00301BD9" w:rsidRDefault="00301BD9" w:rsidP="00301BD9">
      <w:pPr>
        <w:spacing w:after="0" w:line="240" w:lineRule="auto"/>
        <w:rPr>
          <w:rFonts w:ascii="Times New Roman" w:eastAsia="Times New Roman" w:hAnsi="Times New Roman" w:cs="Times New Roman"/>
          <w:sz w:val="24"/>
          <w:szCs w:val="24"/>
          <w:lang w:bidi="he-IL"/>
        </w:rPr>
      </w:pPr>
      <w:r>
        <w:rPr>
          <w:noProof/>
        </w:rPr>
        <mc:AlternateContent>
          <mc:Choice Requires="wps">
            <w:drawing>
              <wp:anchor distT="0" distB="0" distL="114300" distR="114300" simplePos="0" relativeHeight="251658244" behindDoc="0" locked="0" layoutInCell="1" allowOverlap="1" wp14:anchorId="1BC04F81" wp14:editId="25305E75">
                <wp:simplePos x="0" y="0"/>
                <wp:positionH relativeFrom="column">
                  <wp:posOffset>-494</wp:posOffset>
                </wp:positionH>
                <wp:positionV relativeFrom="paragraph">
                  <wp:posOffset>2612390</wp:posOffset>
                </wp:positionV>
                <wp:extent cx="3433445" cy="165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433445" cy="165600"/>
                        </a:xfrm>
                        <a:prstGeom prst="rect">
                          <a:avLst/>
                        </a:prstGeom>
                        <a:solidFill>
                          <a:prstClr val="white"/>
                        </a:solidFill>
                        <a:ln>
                          <a:noFill/>
                        </a:ln>
                      </wps:spPr>
                      <wps:txbx>
                        <w:txbxContent>
                          <w:p w14:paraId="24D0EC12" w14:textId="68BA3641" w:rsidR="00301BD9" w:rsidRPr="00AA5F6D" w:rsidRDefault="00301BD9" w:rsidP="00301BD9">
                            <w:pPr>
                              <w:pStyle w:val="Caption"/>
                              <w:jc w:val="center"/>
                              <w:rPr>
                                <w:rFonts w:ascii="Times New Roman" w:eastAsia="Times New Roman" w:hAnsi="Times New Roman" w:cs="Times New Roman"/>
                                <w:noProof/>
                                <w:sz w:val="24"/>
                                <w:szCs w:val="24"/>
                              </w:rPr>
                            </w:pPr>
                            <w:r>
                              <w:t>Figure 2:</w:t>
                            </w:r>
                            <w:r>
                              <w:rPr>
                                <w:noProof/>
                              </w:rPr>
                              <w:t xml:space="preserve"> PG&amp;E </w:t>
                            </w:r>
                            <w:r w:rsidR="00866586">
                              <w:rPr>
                                <w:noProof/>
                              </w:rPr>
                              <w:t>w</w:t>
                            </w:r>
                            <w:r>
                              <w:rPr>
                                <w:noProof/>
                              </w:rPr>
                              <w:t xml:space="preserve">orkers </w:t>
                            </w:r>
                            <w:r w:rsidR="00866586">
                              <w:rPr>
                                <w:noProof/>
                              </w:rPr>
                              <w:t>d</w:t>
                            </w:r>
                            <w:r>
                              <w:rPr>
                                <w:noProof/>
                              </w:rPr>
                              <w:t xml:space="preserve">isassembling </w:t>
                            </w:r>
                            <w:r w:rsidR="00866586">
                              <w:rPr>
                                <w:noProof/>
                              </w:rPr>
                              <w:t>p</w:t>
                            </w:r>
                            <w:r>
                              <w:rPr>
                                <w:noProof/>
                              </w:rPr>
                              <w:t>ower</w:t>
                            </w:r>
                            <w:r w:rsidR="00866586">
                              <w:rPr>
                                <w:noProof/>
                              </w:rPr>
                              <w:t xml:space="preserve"> l</w:t>
                            </w:r>
                            <w:r>
                              <w:rPr>
                                <w:noProof/>
                              </w:rPr>
                              <w:t>ines</w:t>
                            </w:r>
                            <w:r w:rsidR="00866586">
                              <w:rPr>
                                <w:noProof/>
                              </w:rPr>
                              <w:t xml:space="preserve"> after the Camp fire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04F81" id="Text Box 10" o:spid="_x0000_s1027" type="#_x0000_t202" style="position:absolute;margin-left:-.05pt;margin-top:205.7pt;width:270.35pt;height:13.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" stroked="f">
                <v:textbox inset="0,0,0,0">
                  <w:txbxContent>
                    <w:p w14:paraId="24D0EC12" w14:textId="68BA3641" w:rsidR="00301BD9" w:rsidRPr="00AA5F6D" w:rsidRDefault="00301BD9" w:rsidP="00301BD9">
                      <w:pPr>
                        <w:pStyle w:val="Caption"/>
                        <w:jc w:val="center"/>
                        <w:rPr>
                          <w:rFonts w:ascii="Times New Roman" w:eastAsia="Times New Roman" w:hAnsi="Times New Roman" w:cs="Times New Roman"/>
                          <w:noProof/>
                          <w:sz w:val="24"/>
                          <w:szCs w:val="24"/>
                        </w:rPr>
                      </w:pPr>
                      <w:r>
                        <w:t>Figure 2:</w:t>
                      </w:r>
                      <w:r>
                        <w:rPr>
                          <w:noProof/>
                        </w:rPr>
                        <w:t xml:space="preserve"> PG&amp;E </w:t>
                      </w:r>
                      <w:r w:rsidR="00866586">
                        <w:rPr>
                          <w:noProof/>
                        </w:rPr>
                        <w:t>w</w:t>
                      </w:r>
                      <w:r>
                        <w:rPr>
                          <w:noProof/>
                        </w:rPr>
                        <w:t xml:space="preserve">orkers </w:t>
                      </w:r>
                      <w:r w:rsidR="00866586">
                        <w:rPr>
                          <w:noProof/>
                        </w:rPr>
                        <w:t>d</w:t>
                      </w:r>
                      <w:r>
                        <w:rPr>
                          <w:noProof/>
                        </w:rPr>
                        <w:t xml:space="preserve">isassembling </w:t>
                      </w:r>
                      <w:r w:rsidR="00866586">
                        <w:rPr>
                          <w:noProof/>
                        </w:rPr>
                        <w:t>p</w:t>
                      </w:r>
                      <w:r>
                        <w:rPr>
                          <w:noProof/>
                        </w:rPr>
                        <w:t>ower</w:t>
                      </w:r>
                      <w:r w:rsidR="00866586">
                        <w:rPr>
                          <w:noProof/>
                        </w:rPr>
                        <w:t xml:space="preserve"> l</w:t>
                      </w:r>
                      <w:r>
                        <w:rPr>
                          <w:noProof/>
                        </w:rPr>
                        <w:t>ines</w:t>
                      </w:r>
                      <w:r w:rsidR="00866586">
                        <w:rPr>
                          <w:noProof/>
                        </w:rPr>
                        <w:t xml:space="preserve"> after the Camp fire</w:t>
                      </w:r>
                    </w:p>
                  </w:txbxContent>
                </v:textbox>
                <w10:wrap type="square"/>
              </v:shape>
            </w:pict>
          </mc:Fallback>
        </mc:AlternateContent>
      </w:r>
      <w:r w:rsidRPr="00301BD9">
        <w:rPr>
          <w:rFonts w:ascii="Times New Roman" w:eastAsia="Times New Roman" w:hAnsi="Times New Roman" w:cs="Times New Roman"/>
          <w:sz w:val="24"/>
          <w:szCs w:val="24"/>
          <w:lang w:bidi="he-IL"/>
        </w:rPr>
        <w:fldChar w:fldCharType="begin"/>
      </w:r>
      <w:r w:rsidRPr="00301BD9">
        <w:rPr>
          <w:rFonts w:ascii="Times New Roman" w:eastAsia="Times New Roman" w:hAnsi="Times New Roman" w:cs="Times New Roman"/>
          <w:sz w:val="24"/>
          <w:szCs w:val="24"/>
          <w:lang w:bidi="he-IL"/>
        </w:rPr>
        <w:instrText xml:space="preserve"> INCLUDEPICTURE "https://ca-times.brightspotcdn.com/dims4/default/160acbd/2147483647/strip/true/crop/1335x1001+0+0/resize/840x630!/quality/90/?url=https%3A%2F%2Fcalifornia-times-brightspot.s3.amazonaws.com%2F34%2Fc5%2F240b25c05a639f77208758aaa91b%2Fla-wildfire-money-fund-pictures-004" \* MERGEFORMATINET </w:instrText>
      </w:r>
      <w:r w:rsidRPr="00301BD9">
        <w:rPr>
          <w:rFonts w:ascii="Times New Roman" w:eastAsia="Times New Roman" w:hAnsi="Times New Roman" w:cs="Times New Roman"/>
          <w:sz w:val="24"/>
          <w:szCs w:val="24"/>
          <w:lang w:bidi="he-IL"/>
        </w:rPr>
        <w:fldChar w:fldCharType="separate"/>
      </w:r>
      <w:r w:rsidRPr="00301BD9">
        <w:rPr>
          <w:rFonts w:ascii="Times New Roman" w:eastAsia="Times New Roman" w:hAnsi="Times New Roman" w:cs="Times New Roman"/>
          <w:noProof/>
          <w:sz w:val="24"/>
          <w:szCs w:val="24"/>
          <w:lang w:bidi="he-IL"/>
        </w:rPr>
        <w:drawing>
          <wp:inline distT="0" distB="0" distL="0" distR="0" wp14:anchorId="5237EFDB" wp14:editId="158AB751">
            <wp:extent cx="3399790" cy="2550795"/>
            <wp:effectExtent l="0" t="0" r="3810" b="1905"/>
            <wp:docPr id="5" name="Picture 5" descr="PG&amp;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G&amp;E work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9790" cy="2550795"/>
                    </a:xfrm>
                    <a:prstGeom prst="rect">
                      <a:avLst/>
                    </a:prstGeom>
                    <a:noFill/>
                    <a:ln>
                      <a:noFill/>
                    </a:ln>
                  </pic:spPr>
                </pic:pic>
              </a:graphicData>
            </a:graphic>
          </wp:inline>
        </w:drawing>
      </w:r>
      <w:r w:rsidRPr="00301BD9">
        <w:rPr>
          <w:rFonts w:ascii="Times New Roman" w:eastAsia="Times New Roman" w:hAnsi="Times New Roman" w:cs="Times New Roman"/>
          <w:sz w:val="24"/>
          <w:szCs w:val="24"/>
          <w:lang w:bidi="he-IL"/>
        </w:rPr>
        <w:fldChar w:fldCharType="end"/>
      </w:r>
    </w:p>
    <w:p w14:paraId="04504593" w14:textId="16FDD14E" w:rsidR="000471D5" w:rsidRPr="00B36023" w:rsidRDefault="00B36023" w:rsidP="0001147C">
      <w:pPr>
        <w:spacing w:after="0" w:line="276" w:lineRule="auto"/>
        <w:jc w:val="both"/>
        <w:rPr>
          <w:rFonts w:ascii="Arial" w:eastAsia="Times New Roman" w:hAnsi="Arial" w:cs="Arial"/>
          <w:b/>
          <w:bCs/>
          <w:sz w:val="28"/>
          <w:szCs w:val="28"/>
          <w:lang w:eastAsia="en-CA"/>
        </w:rPr>
      </w:pPr>
      <w:r>
        <w:rPr>
          <w:rFonts w:ascii="Arial" w:eastAsia="Times New Roman" w:hAnsi="Arial" w:cs="Arial"/>
          <w:b/>
          <w:bCs/>
          <w:sz w:val="28"/>
          <w:szCs w:val="28"/>
          <w:lang w:eastAsia="en-CA"/>
        </w:rPr>
        <w:t>Mitigations</w:t>
      </w:r>
    </w:p>
    <w:p w14:paraId="6AA5B0F6" w14:textId="21AB236C" w:rsidR="00DA2219" w:rsidRPr="00B36023" w:rsidRDefault="00B36023" w:rsidP="0001147C">
      <w:pPr>
        <w:pStyle w:val="NormalWeb"/>
        <w:spacing w:before="0" w:beforeAutospacing="0" w:after="0" w:afterAutospacing="0" w:line="276" w:lineRule="auto"/>
        <w:jc w:val="both"/>
        <w:rPr>
          <w:rFonts w:ascii="Arial" w:hAnsi="Arial" w:cs="Arial"/>
          <w:b/>
          <w:bCs/>
          <w:i/>
          <w:iCs/>
          <w:color w:val="345A8A"/>
          <w:sz w:val="28"/>
          <w:szCs w:val="28"/>
        </w:rPr>
      </w:pPr>
      <w:r>
        <w:rPr>
          <w:rFonts w:ascii="Arial" w:hAnsi="Arial" w:cs="Arial"/>
          <w:b/>
          <w:bCs/>
          <w:i/>
          <w:iCs/>
          <w:color w:val="345A8A"/>
          <w:sz w:val="28"/>
          <w:szCs w:val="28"/>
        </w:rPr>
        <w:t>Prioritizing Safety Certification and Standards</w:t>
      </w:r>
    </w:p>
    <w:p w14:paraId="39056268" w14:textId="21106E74" w:rsidR="00B36023" w:rsidRPr="00B36023" w:rsidRDefault="00B36023" w:rsidP="0001147C">
      <w:pPr>
        <w:pStyle w:val="NormalWeb"/>
        <w:spacing w:before="0" w:beforeAutospacing="0" w:after="0" w:afterAutospacing="0" w:line="276" w:lineRule="auto"/>
        <w:ind w:firstLine="720"/>
        <w:jc w:val="both"/>
        <w:rPr>
          <w:rFonts w:ascii="Arial" w:hAnsi="Arial" w:cs="Arial"/>
          <w:color w:val="000000"/>
          <w:sz w:val="22"/>
          <w:szCs w:val="22"/>
        </w:rPr>
      </w:pPr>
      <w:r w:rsidRPr="00B36023">
        <w:rPr>
          <w:rFonts w:ascii="Arial" w:hAnsi="Arial" w:cs="Arial"/>
          <w:color w:val="000000"/>
          <w:sz w:val="22"/>
          <w:szCs w:val="22"/>
        </w:rPr>
        <w:t>Maintaining its safety certification should be PG&amp;E’s utmost priority because it determines their ability to access the California Wildfire Fund (Fund). A recent report published by Fitch Ratings emphasized the important role that continued access to the Fund has in preventing the further downgrading of PG&amp;E’s credit rating.</w:t>
      </w:r>
      <w:r w:rsidR="003E2CEA">
        <w:rPr>
          <w:rStyle w:val="EndnoteReference"/>
          <w:rFonts w:ascii="Arial" w:hAnsi="Arial" w:cs="Arial"/>
          <w:color w:val="000000"/>
          <w:sz w:val="22"/>
          <w:szCs w:val="22"/>
        </w:rPr>
        <w:endnoteReference w:id="27"/>
      </w:r>
      <w:r w:rsidR="003E2CEA">
        <w:rPr>
          <w:rFonts w:ascii="Arial" w:hAnsi="Arial" w:cs="Arial"/>
          <w:color w:val="000000"/>
          <w:sz w:val="22"/>
          <w:szCs w:val="22"/>
        </w:rPr>
        <w:t xml:space="preserve"> </w:t>
      </w:r>
      <w:r w:rsidRPr="00B36023">
        <w:rPr>
          <w:rFonts w:ascii="Arial" w:hAnsi="Arial" w:cs="Arial"/>
          <w:color w:val="000000"/>
          <w:sz w:val="22"/>
          <w:szCs w:val="22"/>
        </w:rPr>
        <w:t xml:space="preserve">The Fund provides a necessary liquidity cushion for potential liabilities arising from future large-scale wildfires caused by PG&amp;E’s equipment. As the company admits, its wildfire mitigation effort will be a decade-long endeavor, and it is reasonably certain that PG&amp;E’s equipment will cause new wildfires in the interim. PG&amp;E depends on the liquidity cushion </w:t>
      </w:r>
      <w:r w:rsidRPr="00B36023">
        <w:rPr>
          <w:rFonts w:ascii="Arial" w:hAnsi="Arial" w:cs="Arial"/>
          <w:color w:val="000000"/>
          <w:sz w:val="22"/>
          <w:szCs w:val="22"/>
        </w:rPr>
        <w:t>provided by the Fund to prevent insolvency in the event of being found liable for wildfires as devastating as the 2018 Camp Fire. Therefore, failure to maintain its safety certification will severely undermine PG&amp;E’s ability to securely provide necessary long-term financing for the energy storage project.</w:t>
      </w:r>
    </w:p>
    <w:p w14:paraId="32BEA494" w14:textId="10B17F62" w:rsidR="00DA2219" w:rsidRDefault="00B36023" w:rsidP="0001147C">
      <w:pPr>
        <w:pStyle w:val="NormalWeb"/>
        <w:spacing w:before="0" w:beforeAutospacing="0" w:after="0" w:afterAutospacing="0" w:line="276" w:lineRule="auto"/>
        <w:ind w:firstLine="720"/>
        <w:jc w:val="both"/>
        <w:rPr>
          <w:rFonts w:ascii="Arial" w:hAnsi="Arial" w:cs="Arial"/>
          <w:color w:val="000000"/>
          <w:sz w:val="22"/>
          <w:szCs w:val="22"/>
        </w:rPr>
      </w:pPr>
      <w:r w:rsidRPr="00B36023">
        <w:rPr>
          <w:rFonts w:ascii="Arial" w:hAnsi="Arial" w:cs="Arial"/>
          <w:color w:val="000000"/>
          <w:sz w:val="22"/>
          <w:szCs w:val="22"/>
        </w:rPr>
        <w:t xml:space="preserve">Fulfilling CPUC’s “prudent manager standard” will allow PG&amp;E to recover the costs incurred from wildfire liabilities by increasing customer electricity rates. The California Supreme Court’s rationale for making investor-owned utilities (like PG&amp;E) subject to inverse condemnation in </w:t>
      </w:r>
      <w:r w:rsidRPr="003E2CEA">
        <w:rPr>
          <w:rFonts w:ascii="Arial" w:hAnsi="Arial" w:cs="Arial"/>
          <w:i/>
          <w:iCs/>
          <w:color w:val="000000"/>
          <w:sz w:val="22"/>
          <w:szCs w:val="22"/>
        </w:rPr>
        <w:t>Barham</w:t>
      </w:r>
      <w:r w:rsidRPr="00B36023">
        <w:rPr>
          <w:rFonts w:ascii="Arial" w:hAnsi="Arial" w:cs="Arial"/>
          <w:color w:val="000000"/>
          <w:sz w:val="22"/>
          <w:szCs w:val="22"/>
        </w:rPr>
        <w:t xml:space="preserve"> is predicated on the notion that they can effectively pass costs onto the public through utility price -increases. Indeed, section 454 of the </w:t>
      </w:r>
      <w:r w:rsidRPr="003E2CEA">
        <w:rPr>
          <w:rFonts w:ascii="Arial" w:hAnsi="Arial" w:cs="Arial"/>
          <w:i/>
          <w:iCs/>
          <w:color w:val="000000"/>
          <w:sz w:val="22"/>
          <w:szCs w:val="22"/>
        </w:rPr>
        <w:t>California Public Utilities Code</w:t>
      </w:r>
      <w:r w:rsidRPr="00B36023">
        <w:rPr>
          <w:rFonts w:ascii="Arial" w:hAnsi="Arial" w:cs="Arial"/>
          <w:color w:val="000000"/>
          <w:sz w:val="22"/>
          <w:szCs w:val="22"/>
        </w:rPr>
        <w:t xml:space="preserve"> permits utilities “to recover its costs (including wildfire liabilities),” as long as they are considered to be “just and reasonable.”</w:t>
      </w:r>
      <w:r w:rsidR="00BC0C52">
        <w:rPr>
          <w:rStyle w:val="EndnoteReference"/>
          <w:rFonts w:ascii="Arial" w:hAnsi="Arial" w:cs="Arial"/>
          <w:color w:val="000000"/>
          <w:sz w:val="22"/>
          <w:szCs w:val="22"/>
        </w:rPr>
        <w:endnoteReference w:id="28"/>
      </w:r>
      <w:r w:rsidR="00BC0C52">
        <w:rPr>
          <w:rFonts w:ascii="Arial" w:hAnsi="Arial" w:cs="Arial"/>
          <w:color w:val="000000"/>
          <w:sz w:val="22"/>
          <w:szCs w:val="22"/>
        </w:rPr>
        <w:t xml:space="preserve"> </w:t>
      </w:r>
      <w:r w:rsidRPr="00B36023">
        <w:rPr>
          <w:rFonts w:ascii="Arial" w:hAnsi="Arial" w:cs="Arial"/>
          <w:color w:val="000000"/>
          <w:sz w:val="22"/>
          <w:szCs w:val="22"/>
        </w:rPr>
        <w:t>In determining San Diego Gas &amp; Electric’s 2007 request to increase electricity rates to recover its wildfire-related liability expenses, the CPUC held that liability costs are deemed “just and reasonable” if the utility has met the “prudent manager standard.” The CPUC defines the standard as, “following the exercise of reasonable judgment in light of the facts known or which should have been known.”</w:t>
      </w:r>
      <w:r w:rsidR="00BC0C52">
        <w:rPr>
          <w:rStyle w:val="EndnoteReference"/>
          <w:rFonts w:ascii="Arial" w:hAnsi="Arial" w:cs="Arial"/>
          <w:color w:val="000000"/>
          <w:sz w:val="22"/>
          <w:szCs w:val="22"/>
        </w:rPr>
        <w:endnoteReference w:id="29"/>
      </w:r>
      <w:r w:rsidRPr="00B36023">
        <w:rPr>
          <w:rFonts w:ascii="Arial" w:hAnsi="Arial" w:cs="Arial"/>
          <w:color w:val="000000"/>
          <w:sz w:val="22"/>
          <w:szCs w:val="22"/>
        </w:rPr>
        <w:t xml:space="preserve"> Though the standard is vaguely defined and, therefore, subject to the case-specific interpretation of the CPUC, it provides a medium-term solution for PG&amp;E’s liability-related financial risks. Therefore, PG&amp;E should re-design its ongoing mitigation strategy to fulfill the “prudent manager standard” as soon as reality permits.   </w:t>
      </w:r>
    </w:p>
    <w:p w14:paraId="23841050" w14:textId="77777777" w:rsidR="00B36023" w:rsidRDefault="00B36023" w:rsidP="0001147C">
      <w:pPr>
        <w:pStyle w:val="NormalWeb"/>
        <w:spacing w:before="0" w:beforeAutospacing="0" w:after="0" w:afterAutospacing="0" w:line="276" w:lineRule="auto"/>
        <w:ind w:firstLine="720"/>
        <w:jc w:val="both"/>
        <w:rPr>
          <w:rFonts w:ascii="Arial" w:hAnsi="Arial" w:cs="Arial"/>
          <w:color w:val="000000"/>
          <w:sz w:val="22"/>
          <w:szCs w:val="22"/>
        </w:rPr>
      </w:pPr>
    </w:p>
    <w:p w14:paraId="3B93B8F2" w14:textId="51833D18" w:rsidR="00DA2219" w:rsidRPr="00DA2219" w:rsidRDefault="00B36023" w:rsidP="0001147C">
      <w:pPr>
        <w:pStyle w:val="NormalWeb"/>
        <w:spacing w:before="0" w:beforeAutospacing="0" w:after="0" w:afterAutospacing="0" w:line="276" w:lineRule="auto"/>
        <w:jc w:val="both"/>
        <w:rPr>
          <w:rFonts w:ascii="Arial" w:hAnsi="Arial" w:cs="Arial"/>
          <w:color w:val="000000"/>
          <w:sz w:val="22"/>
          <w:szCs w:val="22"/>
        </w:rPr>
      </w:pPr>
      <w:r>
        <w:rPr>
          <w:rFonts w:ascii="Arial" w:hAnsi="Arial" w:cs="Arial"/>
          <w:b/>
          <w:bCs/>
          <w:i/>
          <w:iCs/>
          <w:color w:val="345A8A"/>
          <w:sz w:val="28"/>
          <w:szCs w:val="28"/>
        </w:rPr>
        <w:t>Utilizing Energy Storage Technologies</w:t>
      </w:r>
      <w:r>
        <w:rPr>
          <w:rFonts w:ascii="Arial" w:hAnsi="Arial" w:cs="Arial"/>
          <w:b/>
          <w:bCs/>
          <w:i/>
          <w:iCs/>
          <w:color w:val="345A8A"/>
          <w:sz w:val="28"/>
          <w:szCs w:val="28"/>
        </w:rPr>
        <w:tab/>
      </w:r>
      <w:r w:rsidRPr="00B36023">
        <w:rPr>
          <w:rFonts w:ascii="Arial" w:hAnsi="Arial" w:cs="Arial"/>
          <w:color w:val="000000"/>
          <w:sz w:val="22"/>
          <w:szCs w:val="22"/>
        </w:rPr>
        <w:t>Further approaches may constitute gaining increased shareholder trust by storing energy in a more reliable manner, which reduce the risk of wildfires. This is apparent as the CEO has stated that: “PG&amp;E’s new remote microgrid replaces traditional electric poles and wires - reducing wildfire risk for PG&amp;E customers in a high fire-threat area</w:t>
      </w:r>
      <w:r w:rsidR="00BC0C52">
        <w:rPr>
          <w:rFonts w:ascii="Arial" w:hAnsi="Arial" w:cs="Arial"/>
          <w:color w:val="000000"/>
          <w:sz w:val="22"/>
          <w:szCs w:val="22"/>
        </w:rPr>
        <w:t>.</w:t>
      </w:r>
      <w:r w:rsidRPr="00B36023">
        <w:rPr>
          <w:rFonts w:ascii="Arial" w:hAnsi="Arial" w:cs="Arial"/>
          <w:color w:val="000000"/>
          <w:sz w:val="22"/>
          <w:szCs w:val="22"/>
        </w:rPr>
        <w:t>”</w:t>
      </w:r>
      <w:r w:rsidR="00BC0C52">
        <w:rPr>
          <w:rStyle w:val="EndnoteReference"/>
          <w:rFonts w:ascii="Arial" w:hAnsi="Arial" w:cs="Arial"/>
          <w:color w:val="000000"/>
          <w:sz w:val="22"/>
          <w:szCs w:val="22"/>
        </w:rPr>
        <w:endnoteReference w:id="30"/>
      </w:r>
      <w:r w:rsidR="00BC0C52">
        <w:rPr>
          <w:rFonts w:ascii="Arial" w:hAnsi="Arial" w:cs="Arial"/>
          <w:color w:val="000000"/>
          <w:sz w:val="22"/>
          <w:szCs w:val="22"/>
        </w:rPr>
        <w:t xml:space="preserve"> </w:t>
      </w:r>
      <w:r w:rsidRPr="00B36023">
        <w:rPr>
          <w:rFonts w:ascii="Arial" w:hAnsi="Arial" w:cs="Arial"/>
          <w:color w:val="000000"/>
          <w:sz w:val="22"/>
          <w:szCs w:val="22"/>
        </w:rPr>
        <w:t xml:space="preserve">Therefore, PG&amp;E should orient its infrastructure investment strategies to focus on the ongoing energy storage project, as it provides a multitude of benefits — particularly in mitigating the company’s current financial, credit, and market risks. </w:t>
      </w:r>
      <w:r w:rsidR="00DA2219" w:rsidRPr="00DA2219">
        <w:rPr>
          <w:rFonts w:ascii="Arial" w:hAnsi="Arial" w:cs="Arial"/>
          <w:color w:val="000000"/>
          <w:sz w:val="22"/>
          <w:szCs w:val="22"/>
        </w:rPr>
        <w:t xml:space="preserve">  </w:t>
      </w:r>
    </w:p>
    <w:p w14:paraId="0F5E18FD" w14:textId="77777777" w:rsidR="00DA2219" w:rsidRDefault="00DA2219" w:rsidP="0001147C">
      <w:pPr>
        <w:pStyle w:val="NormalWeb"/>
        <w:spacing w:before="0" w:beforeAutospacing="0" w:after="0" w:afterAutospacing="0" w:line="276" w:lineRule="auto"/>
        <w:ind w:firstLine="720"/>
        <w:jc w:val="both"/>
        <w:rPr>
          <w:rFonts w:ascii="Arial" w:hAnsi="Arial" w:cs="Arial"/>
          <w:color w:val="000000"/>
          <w:sz w:val="22"/>
          <w:szCs w:val="22"/>
        </w:rPr>
      </w:pPr>
    </w:p>
    <w:p w14:paraId="445055B9" w14:textId="77777777" w:rsidR="00C26955" w:rsidRDefault="00C26955" w:rsidP="00C26955">
      <w:pPr>
        <w:pStyle w:val="NormalWeb"/>
        <w:spacing w:before="0" w:beforeAutospacing="0" w:after="0" w:afterAutospacing="0" w:line="276" w:lineRule="auto"/>
        <w:ind w:firstLine="540"/>
        <w:jc w:val="both"/>
        <w:rPr>
          <w:rFonts w:ascii="Arial" w:hAnsi="Arial" w:cs="Arial"/>
          <w:color w:val="000000"/>
          <w:sz w:val="22"/>
          <w:szCs w:val="22"/>
        </w:rPr>
      </w:pPr>
    </w:p>
    <w:p w14:paraId="608E77CB" w14:textId="4AA41D21" w:rsidR="007A2424" w:rsidRPr="002C2D73" w:rsidRDefault="007A2424" w:rsidP="00C26955">
      <w:pPr>
        <w:pStyle w:val="Caption"/>
        <w:jc w:val="both"/>
        <w:rPr>
          <w:sz w:val="26"/>
          <w:szCs w:val="26"/>
        </w:rPr>
        <w:sectPr w:rsidR="007A2424" w:rsidRPr="002C2D73" w:rsidSect="0086062C">
          <w:endnotePr>
            <w:numFmt w:val="decimal"/>
          </w:endnotePr>
          <w:type w:val="continuous"/>
          <w:pgSz w:w="12240" w:h="15840"/>
          <w:pgMar w:top="567" w:right="567" w:bottom="845" w:left="567" w:header="709" w:footer="397" w:gutter="0"/>
          <w:cols w:num="2" w:space="397"/>
          <w:docGrid w:linePitch="360"/>
        </w:sectPr>
      </w:pPr>
    </w:p>
    <w:p w14:paraId="07238358" w14:textId="74FF990A" w:rsidR="00C26955" w:rsidRPr="0001147C" w:rsidRDefault="00B36023" w:rsidP="0001147C">
      <w:pPr>
        <w:pStyle w:val="Heading1"/>
        <w:spacing w:after="240"/>
        <w:sectPr w:rsidR="00C26955" w:rsidRPr="0001147C" w:rsidSect="0086062C">
          <w:endnotePr>
            <w:numFmt w:val="decimal"/>
          </w:endnotePr>
          <w:type w:val="continuous"/>
          <w:pgSz w:w="12240" w:h="15840"/>
          <w:pgMar w:top="567" w:right="567" w:bottom="845" w:left="567" w:header="709" w:footer="397" w:gutter="0"/>
          <w:cols w:space="397"/>
          <w:docGrid w:linePitch="360"/>
        </w:sectPr>
      </w:pPr>
      <w:bookmarkStart w:id="2" w:name="_Toc110685474"/>
      <w:r>
        <w:lastRenderedPageBreak/>
        <w:t>Social Risk</w:t>
      </w:r>
      <w:bookmarkEnd w:id="2"/>
    </w:p>
    <w:p w14:paraId="60586C8D" w14:textId="020D44F8" w:rsidR="007A2424" w:rsidRPr="007A2424" w:rsidRDefault="00B36023" w:rsidP="003E384A">
      <w:pPr>
        <w:spacing w:after="0" w:line="276" w:lineRule="auto"/>
        <w:jc w:val="both"/>
        <w:rPr>
          <w:rFonts w:ascii="Times New Roman" w:eastAsia="Times New Roman" w:hAnsi="Times New Roman" w:cs="Times New Roman"/>
          <w:color w:val="345A8A"/>
          <w:sz w:val="28"/>
          <w:szCs w:val="28"/>
          <w:lang w:eastAsia="en-CA"/>
        </w:rPr>
      </w:pPr>
      <w:r>
        <w:rPr>
          <w:rFonts w:ascii="Arial" w:eastAsia="Times New Roman" w:hAnsi="Arial" w:cs="Arial"/>
          <w:b/>
          <w:bCs/>
          <w:color w:val="345A8A"/>
          <w:sz w:val="28"/>
          <w:szCs w:val="28"/>
          <w:lang w:eastAsia="en-CA"/>
        </w:rPr>
        <w:t>Background</w:t>
      </w:r>
    </w:p>
    <w:p w14:paraId="2BC4E8E5" w14:textId="7041CC0D" w:rsidR="00B36023" w:rsidRPr="00B36023" w:rsidRDefault="00B36023" w:rsidP="003E384A">
      <w:pPr>
        <w:spacing w:after="0" w:line="276" w:lineRule="auto"/>
        <w:ind w:firstLine="720"/>
        <w:jc w:val="both"/>
        <w:rPr>
          <w:rFonts w:ascii="Arial" w:eastAsia="Times New Roman" w:hAnsi="Arial" w:cs="Arial"/>
          <w:color w:val="000000"/>
          <w:lang w:eastAsia="en-CA"/>
        </w:rPr>
      </w:pPr>
      <w:r w:rsidRPr="00B36023">
        <w:rPr>
          <w:rFonts w:ascii="Arial" w:eastAsia="Times New Roman" w:hAnsi="Arial" w:cs="Arial"/>
          <w:color w:val="000000"/>
          <w:lang w:eastAsia="en-CA"/>
        </w:rPr>
        <w:t>PG&amp;E is increasingly facing a newer form of risk: social risk. Social risks arise from negative perceptions of an organization’s impact on the community and have significant reputational and financial repercussions. In recent years, California’s largest utility has been responsible for wildfires that have destroyed hundreds of thousands of acres. Five of the ten most destructive fires in California since 2015 have been linked to PG&amp;E equipment. This has adverse implications on racialized communities as climate crises – particularly wildfires – have been proven to exacerbate vulnerabilities within communities of colour.</w:t>
      </w:r>
    </w:p>
    <w:p w14:paraId="4B8CA418" w14:textId="233BF59D" w:rsidR="00B36023" w:rsidRPr="00B36023" w:rsidRDefault="00B36023" w:rsidP="003E384A">
      <w:pPr>
        <w:spacing w:after="0" w:line="276" w:lineRule="auto"/>
        <w:ind w:firstLine="720"/>
        <w:jc w:val="both"/>
        <w:rPr>
          <w:rFonts w:ascii="Arial" w:eastAsia="Times New Roman" w:hAnsi="Arial" w:cs="Arial"/>
          <w:color w:val="000000"/>
          <w:lang w:eastAsia="en-CA"/>
        </w:rPr>
      </w:pPr>
      <w:r w:rsidRPr="00B36023">
        <w:rPr>
          <w:rFonts w:ascii="Arial" w:eastAsia="Times New Roman" w:hAnsi="Arial" w:cs="Arial"/>
          <w:color w:val="000000"/>
          <w:lang w:eastAsia="en-CA"/>
        </w:rPr>
        <w:t>Further, in 2021, PG&amp;E announced a plan to bury 10,000 miles of power lines in response to the wildfires. However, widespread concerns have been raised indicating that the plan fails to adequately address the fire-danger risks and is instead a for-profit venture. Moreover, the greater financial cost required from users, in a time where the socio-economic well-being of many have been negatively compromised due to the COVID-19 pandemic, has generated additional ill-disposed views towards the plan and has further contributed to the company’s high-unfavourability rating in California and surrounding regions.</w:t>
      </w:r>
    </w:p>
    <w:p w14:paraId="0FDAEA20" w14:textId="2BFE094E" w:rsidR="00773940" w:rsidRPr="00C26955" w:rsidRDefault="00B36023" w:rsidP="003E384A">
      <w:pPr>
        <w:spacing w:after="0" w:line="276" w:lineRule="auto"/>
        <w:ind w:firstLine="720"/>
        <w:jc w:val="both"/>
        <w:rPr>
          <w:rFonts w:ascii="Times New Roman" w:eastAsia="Times New Roman" w:hAnsi="Times New Roman" w:cs="Times New Roman"/>
          <w:sz w:val="24"/>
          <w:szCs w:val="24"/>
          <w:lang w:val="en-US" w:eastAsia="en-CA"/>
        </w:rPr>
      </w:pPr>
      <w:r w:rsidRPr="00B36023">
        <w:rPr>
          <w:rFonts w:ascii="Arial" w:eastAsia="Times New Roman" w:hAnsi="Arial" w:cs="Arial"/>
          <w:color w:val="000000"/>
          <w:lang w:eastAsia="en-CA"/>
        </w:rPr>
        <w:t>Providing consistent power for 16 million people, maintaining the integrity of more than 100,000 miles of power lines, and answering to California’s regulators and company shareholders is an important and necessary job. Accordingly, it is imperative that PG&amp;E repairs its relationship with the state of California – not only for the future of the company but for the well-being of the communities in which the utility company operates as well.</w:t>
      </w:r>
    </w:p>
    <w:p w14:paraId="61A0AEBC" w14:textId="77777777" w:rsidR="0001147C" w:rsidRDefault="0001147C" w:rsidP="003E384A">
      <w:pPr>
        <w:spacing w:after="0" w:line="276" w:lineRule="auto"/>
        <w:jc w:val="both"/>
        <w:rPr>
          <w:rFonts w:ascii="Arial" w:eastAsia="Times New Roman" w:hAnsi="Arial" w:cs="Arial"/>
          <w:b/>
          <w:bCs/>
          <w:sz w:val="28"/>
          <w:szCs w:val="28"/>
          <w:lang w:eastAsia="en-CA"/>
        </w:rPr>
      </w:pPr>
    </w:p>
    <w:p w14:paraId="2543B01F" w14:textId="6C5C3DC8" w:rsidR="00B36023" w:rsidRPr="0001147C" w:rsidRDefault="00B36023" w:rsidP="003E384A">
      <w:pPr>
        <w:spacing w:after="0" w:line="276" w:lineRule="auto"/>
        <w:jc w:val="both"/>
        <w:rPr>
          <w:rFonts w:ascii="Arial" w:eastAsia="Times New Roman" w:hAnsi="Arial" w:cs="Arial"/>
          <w:b/>
          <w:bCs/>
          <w:sz w:val="28"/>
          <w:szCs w:val="28"/>
          <w:lang w:eastAsia="en-CA"/>
        </w:rPr>
      </w:pPr>
      <w:r>
        <w:rPr>
          <w:rFonts w:ascii="Arial" w:eastAsia="Times New Roman" w:hAnsi="Arial" w:cs="Arial"/>
          <w:b/>
          <w:bCs/>
          <w:sz w:val="28"/>
          <w:szCs w:val="28"/>
          <w:lang w:eastAsia="en-CA"/>
        </w:rPr>
        <w:t>Risks</w:t>
      </w:r>
    </w:p>
    <w:p w14:paraId="7F850E92" w14:textId="13DF9FBC" w:rsidR="00B36023" w:rsidRPr="0001147C" w:rsidRDefault="00B36023" w:rsidP="003E384A">
      <w:pPr>
        <w:spacing w:after="0" w:line="276" w:lineRule="auto"/>
        <w:jc w:val="both"/>
        <w:rPr>
          <w:rFonts w:ascii="Times New Roman" w:eastAsia="Times New Roman" w:hAnsi="Times New Roman" w:cs="Times New Roman"/>
          <w:i/>
          <w:iCs/>
          <w:color w:val="345A8A"/>
          <w:sz w:val="28"/>
          <w:szCs w:val="28"/>
          <w:lang w:eastAsia="en-CA"/>
        </w:rPr>
      </w:pPr>
      <w:r>
        <w:rPr>
          <w:rFonts w:ascii="Arial" w:eastAsia="Times New Roman" w:hAnsi="Arial" w:cs="Arial"/>
          <w:b/>
          <w:bCs/>
          <w:i/>
          <w:iCs/>
          <w:color w:val="345A8A"/>
          <w:sz w:val="28"/>
          <w:szCs w:val="28"/>
          <w:lang w:eastAsia="en-CA"/>
        </w:rPr>
        <w:t>Public Perceptions on PG&amp;E – Post wildfires and blackouts</w:t>
      </w:r>
    </w:p>
    <w:p w14:paraId="2E8CF2BF" w14:textId="74752EC7" w:rsidR="00B36023" w:rsidRPr="00B36023" w:rsidRDefault="00B36023" w:rsidP="003E384A">
      <w:pPr>
        <w:spacing w:after="0" w:line="276" w:lineRule="auto"/>
        <w:ind w:firstLine="720"/>
        <w:jc w:val="both"/>
        <w:rPr>
          <w:rFonts w:ascii="Arial" w:eastAsia="Times New Roman" w:hAnsi="Arial" w:cs="Arial"/>
          <w:color w:val="000000"/>
          <w:lang w:eastAsia="en-CA"/>
        </w:rPr>
      </w:pPr>
      <w:r w:rsidRPr="00B36023">
        <w:rPr>
          <w:rFonts w:ascii="Arial" w:eastAsia="Times New Roman" w:hAnsi="Arial" w:cs="Arial"/>
          <w:color w:val="000000"/>
          <w:lang w:eastAsia="en-CA"/>
        </w:rPr>
        <w:t>Pacific Gas &amp; Electric have been responsible for not only inducing wildfires, but also blackouts which have affected millions across the state of California.</w:t>
      </w:r>
      <w:r w:rsidR="00BC0C52">
        <w:rPr>
          <w:rStyle w:val="EndnoteReference"/>
          <w:rFonts w:ascii="Arial" w:eastAsia="Times New Roman" w:hAnsi="Arial" w:cs="Arial"/>
          <w:color w:val="000000"/>
          <w:lang w:eastAsia="en-CA"/>
        </w:rPr>
        <w:endnoteReference w:id="31"/>
      </w:r>
      <w:r w:rsidRPr="00B36023">
        <w:rPr>
          <w:rFonts w:ascii="Arial" w:eastAsia="Times New Roman" w:hAnsi="Arial" w:cs="Arial"/>
          <w:color w:val="000000"/>
          <w:lang w:eastAsia="en-CA"/>
        </w:rPr>
        <w:t xml:space="preserve">  Public outrage has grown over the last few years as the prevalence and range of blackouts and wildfires, </w:t>
      </w:r>
      <w:r w:rsidRPr="00B36023">
        <w:rPr>
          <w:rFonts w:ascii="Arial" w:eastAsia="Times New Roman" w:hAnsi="Arial" w:cs="Arial"/>
          <w:color w:val="000000"/>
          <w:lang w:eastAsia="en-CA"/>
        </w:rPr>
        <w:t>resulting from PG&amp;E equipment flaws, have increased and subsequently have been adversely impacting the lives and well-being of many.</w:t>
      </w:r>
    </w:p>
    <w:p w14:paraId="343C6DD6" w14:textId="06D3F052" w:rsidR="00773940" w:rsidRDefault="00B36023" w:rsidP="003E384A">
      <w:pPr>
        <w:spacing w:after="0" w:line="276" w:lineRule="auto"/>
        <w:ind w:firstLine="720"/>
        <w:jc w:val="both"/>
        <w:rPr>
          <w:rFonts w:ascii="Arial" w:eastAsia="Times New Roman" w:hAnsi="Arial" w:cs="Arial"/>
          <w:color w:val="000000"/>
          <w:lang w:eastAsia="en-CA"/>
        </w:rPr>
      </w:pPr>
      <w:r w:rsidRPr="00B36023">
        <w:rPr>
          <w:rFonts w:ascii="Arial" w:eastAsia="Times New Roman" w:hAnsi="Arial" w:cs="Arial"/>
          <w:color w:val="000000"/>
          <w:lang w:eastAsia="en-CA"/>
        </w:rPr>
        <w:t>Change Research, an American-based polling firm,</w:t>
      </w:r>
      <w:r w:rsidR="00BC0C52">
        <w:rPr>
          <w:rStyle w:val="EndnoteReference"/>
          <w:rFonts w:ascii="Arial" w:eastAsia="Times New Roman" w:hAnsi="Arial" w:cs="Arial"/>
          <w:color w:val="000000"/>
          <w:lang w:eastAsia="en-CA"/>
        </w:rPr>
        <w:endnoteReference w:id="32"/>
      </w:r>
      <w:r w:rsidRPr="00B36023">
        <w:rPr>
          <w:rFonts w:ascii="Arial" w:eastAsia="Times New Roman" w:hAnsi="Arial" w:cs="Arial"/>
          <w:color w:val="000000"/>
          <w:lang w:eastAsia="en-CA"/>
        </w:rPr>
        <w:t xml:space="preserve"> conducted an opinion poll on PG&amp;E after the company prompted a blackout in 2019, affecting millions of Californians.</w:t>
      </w:r>
      <w:r w:rsidR="00BC0C52">
        <w:rPr>
          <w:rStyle w:val="EndnoteReference"/>
          <w:rFonts w:ascii="Arial" w:eastAsia="Times New Roman" w:hAnsi="Arial" w:cs="Arial"/>
          <w:color w:val="000000"/>
          <w:lang w:eastAsia="en-CA"/>
        </w:rPr>
        <w:endnoteReference w:id="33"/>
      </w:r>
      <w:r w:rsidR="00BC0C52">
        <w:rPr>
          <w:rFonts w:ascii="Arial" w:eastAsia="Times New Roman" w:hAnsi="Arial" w:cs="Arial"/>
          <w:color w:val="000000"/>
          <w:lang w:eastAsia="en-CA"/>
        </w:rPr>
        <w:t xml:space="preserve"> </w:t>
      </w:r>
      <w:r w:rsidRPr="00B36023">
        <w:rPr>
          <w:rFonts w:ascii="Arial" w:eastAsia="Times New Roman" w:hAnsi="Arial" w:cs="Arial"/>
          <w:color w:val="000000"/>
          <w:lang w:eastAsia="en-CA"/>
        </w:rPr>
        <w:t>The polling, surveying a total of 2,605 Californians, showed that the company’s unfavourability rating rose to 61 percent in October 2019, increasing by 12 percent since Change Research conducted their monthly California poll in February of the same year. Notably, results from the poll indicating PG&amp;E’s dissatisfaction ratings transcend political party divides, indicating the clear, undisputed severity across all affected by the company’s activity.</w:t>
      </w:r>
      <w:r w:rsidR="00BC0C52">
        <w:rPr>
          <w:rStyle w:val="EndnoteReference"/>
          <w:rFonts w:ascii="Arial" w:eastAsia="Times New Roman" w:hAnsi="Arial" w:cs="Arial"/>
          <w:color w:val="000000"/>
          <w:lang w:eastAsia="en-CA"/>
        </w:rPr>
        <w:endnoteReference w:id="34"/>
      </w:r>
    </w:p>
    <w:p w14:paraId="09CFB4F4" w14:textId="77C6D7AF" w:rsidR="0001147C" w:rsidRDefault="00866586" w:rsidP="003E384A">
      <w:pPr>
        <w:spacing w:after="0" w:line="276" w:lineRule="auto"/>
        <w:jc w:val="both"/>
        <w:rPr>
          <w:rFonts w:ascii="Times New Roman" w:eastAsia="Times New Roman" w:hAnsi="Times New Roman" w:cs="Times New Roman"/>
          <w:sz w:val="24"/>
          <w:szCs w:val="24"/>
          <w:lang w:bidi="he-IL"/>
        </w:rPr>
      </w:pPr>
      <w:r>
        <w:rPr>
          <w:noProof/>
        </w:rPr>
        <mc:AlternateContent>
          <mc:Choice Requires="wps">
            <w:drawing>
              <wp:anchor distT="0" distB="0" distL="114300" distR="114300" simplePos="0" relativeHeight="251658245" behindDoc="0" locked="0" layoutInCell="1" allowOverlap="1" wp14:anchorId="4F7D4D6F" wp14:editId="146AA154">
                <wp:simplePos x="0" y="0"/>
                <wp:positionH relativeFrom="column">
                  <wp:posOffset>0</wp:posOffset>
                </wp:positionH>
                <wp:positionV relativeFrom="paragraph">
                  <wp:posOffset>2269531</wp:posOffset>
                </wp:positionV>
                <wp:extent cx="3433445" cy="165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433445" cy="165600"/>
                        </a:xfrm>
                        <a:prstGeom prst="rect">
                          <a:avLst/>
                        </a:prstGeom>
                        <a:solidFill>
                          <a:prstClr val="white"/>
                        </a:solidFill>
                        <a:ln>
                          <a:noFill/>
                        </a:ln>
                      </wps:spPr>
                      <wps:txbx>
                        <w:txbxContent>
                          <w:p w14:paraId="461E0841" w14:textId="12E902C2" w:rsidR="00866586" w:rsidRPr="00AA5F6D" w:rsidRDefault="00866586" w:rsidP="00866586">
                            <w:pPr>
                              <w:pStyle w:val="Caption"/>
                              <w:jc w:val="center"/>
                              <w:rPr>
                                <w:rFonts w:ascii="Times New Roman" w:eastAsia="Times New Roman" w:hAnsi="Times New Roman" w:cs="Times New Roman"/>
                                <w:noProof/>
                                <w:sz w:val="24"/>
                                <w:szCs w:val="24"/>
                              </w:rPr>
                            </w:pPr>
                            <w:r>
                              <w:t>Figure 3:</w:t>
                            </w:r>
                            <w:r>
                              <w:rPr>
                                <w:noProof/>
                              </w:rPr>
                              <w:t xml:space="preserve"> PG&amp;E worker repairing a downed power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D4D6F" id="Text Box 7" o:spid="_x0000_s1028" type="#_x0000_t202" style="position:absolute;left:0;text-align:left;margin-left:0;margin-top:178.7pt;width:270.35pt;height:13.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" stroked="f">
                <v:textbox inset="0,0,0,0">
                  <w:txbxContent>
                    <w:p w14:paraId="461E0841" w14:textId="12E902C2" w:rsidR="00866586" w:rsidRPr="00AA5F6D" w:rsidRDefault="00866586" w:rsidP="00866586">
                      <w:pPr>
                        <w:pStyle w:val="Caption"/>
                        <w:jc w:val="center"/>
                        <w:rPr>
                          <w:rFonts w:ascii="Times New Roman" w:eastAsia="Times New Roman" w:hAnsi="Times New Roman" w:cs="Times New Roman"/>
                          <w:noProof/>
                          <w:sz w:val="24"/>
                          <w:szCs w:val="24"/>
                        </w:rPr>
                      </w:pPr>
                      <w:r>
                        <w:t>Figure 3:</w:t>
                      </w:r>
                      <w:r>
                        <w:rPr>
                          <w:noProof/>
                        </w:rPr>
                        <w:t xml:space="preserve"> PG&amp;E worker repairing a downed power line</w:t>
                      </w:r>
                    </w:p>
                  </w:txbxContent>
                </v:textbox>
                <w10:wrap type="square"/>
              </v:shape>
            </w:pict>
          </mc:Fallback>
        </mc:AlternateContent>
      </w:r>
      <w:r w:rsidRPr="00866586">
        <w:rPr>
          <w:rFonts w:ascii="Times New Roman" w:eastAsia="Times New Roman" w:hAnsi="Times New Roman" w:cs="Times New Roman"/>
          <w:sz w:val="24"/>
          <w:szCs w:val="24"/>
          <w:lang w:bidi="he-IL"/>
        </w:rPr>
        <w:fldChar w:fldCharType="begin"/>
      </w:r>
      <w:r w:rsidRPr="00866586">
        <w:rPr>
          <w:rFonts w:ascii="Times New Roman" w:eastAsia="Times New Roman" w:hAnsi="Times New Roman" w:cs="Times New Roman"/>
          <w:sz w:val="24"/>
          <w:szCs w:val="24"/>
          <w:lang w:bidi="he-IL"/>
        </w:rPr>
        <w:instrText xml:space="preserve"> INCLUDEPICTURE "https://www.mercurynews.com/wp-content/uploads/2020/10/SJM-L-WINDMON-1027-2.jpg?w=525" \* MERGEFORMATINET </w:instrText>
      </w:r>
      <w:r w:rsidRPr="00866586">
        <w:rPr>
          <w:rFonts w:ascii="Times New Roman" w:eastAsia="Times New Roman" w:hAnsi="Times New Roman" w:cs="Times New Roman"/>
          <w:sz w:val="24"/>
          <w:szCs w:val="24"/>
          <w:lang w:bidi="he-IL"/>
        </w:rPr>
        <w:fldChar w:fldCharType="separate"/>
      </w:r>
      <w:r w:rsidRPr="00866586">
        <w:rPr>
          <w:rFonts w:ascii="Times New Roman" w:eastAsia="Times New Roman" w:hAnsi="Times New Roman" w:cs="Times New Roman"/>
          <w:noProof/>
          <w:sz w:val="24"/>
          <w:szCs w:val="24"/>
          <w:lang w:bidi="he-IL"/>
        </w:rPr>
        <w:drawing>
          <wp:inline distT="0" distB="0" distL="0" distR="0" wp14:anchorId="3A930AAA" wp14:editId="360D008A">
            <wp:extent cx="3399790" cy="2266315"/>
            <wp:effectExtent l="0" t="0" r="3810" b="0"/>
            <wp:docPr id="6" name="Picture 6" descr="OAKLAND, CA - OCTOBER 26: A PG&amp;E employee works to repair downed power lines along Colton Boulevard on Monday, Oct. 26, in Oakland, Calif.  Strong winds knocked down a large tree that fell into the power lines in a residential area in the Oakland hills.  (Aric Crabb/Bay Area New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AKLAND, CA - OCTOBER 26: A PG&amp;E employee works to repair downed power lines along Colton Boulevard on Monday, Oct. 26, in Oakland, Calif.  Strong winds knocked down a large tree that fell into the power lines in a residential area in the Oakland hills.  (Aric Crabb/Bay Area News Gro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9790" cy="2266315"/>
                    </a:xfrm>
                    <a:prstGeom prst="rect">
                      <a:avLst/>
                    </a:prstGeom>
                    <a:noFill/>
                    <a:ln>
                      <a:noFill/>
                    </a:ln>
                  </pic:spPr>
                </pic:pic>
              </a:graphicData>
            </a:graphic>
          </wp:inline>
        </w:drawing>
      </w:r>
      <w:r w:rsidRPr="00866586">
        <w:rPr>
          <w:rFonts w:ascii="Times New Roman" w:eastAsia="Times New Roman" w:hAnsi="Times New Roman" w:cs="Times New Roman"/>
          <w:sz w:val="24"/>
          <w:szCs w:val="24"/>
          <w:lang w:bidi="he-IL"/>
        </w:rPr>
        <w:fldChar w:fldCharType="end"/>
      </w:r>
    </w:p>
    <w:p w14:paraId="41F2E948" w14:textId="29BB198B" w:rsidR="00B36023" w:rsidRPr="00B36023" w:rsidRDefault="00B36023" w:rsidP="003E384A">
      <w:pPr>
        <w:spacing w:after="0" w:line="276" w:lineRule="auto"/>
        <w:jc w:val="both"/>
        <w:rPr>
          <w:rFonts w:ascii="Times New Roman" w:eastAsia="Times New Roman" w:hAnsi="Times New Roman" w:cs="Times New Roman"/>
          <w:i/>
          <w:iCs/>
          <w:color w:val="345A8A"/>
          <w:sz w:val="28"/>
          <w:szCs w:val="28"/>
          <w:lang w:eastAsia="en-CA"/>
        </w:rPr>
      </w:pPr>
      <w:r>
        <w:rPr>
          <w:rFonts w:ascii="Arial" w:eastAsia="Times New Roman" w:hAnsi="Arial" w:cs="Arial"/>
          <w:b/>
          <w:bCs/>
          <w:i/>
          <w:iCs/>
          <w:color w:val="345A8A"/>
          <w:sz w:val="28"/>
          <w:szCs w:val="28"/>
          <w:lang w:eastAsia="en-CA"/>
        </w:rPr>
        <w:t>Public Perceptions on PG&amp;E as a For-Profit Corporation</w:t>
      </w:r>
    </w:p>
    <w:p w14:paraId="67A28694" w14:textId="5F96766B" w:rsidR="00BC0C52" w:rsidRDefault="00B36023" w:rsidP="00BC0C52">
      <w:pPr>
        <w:spacing w:after="0" w:line="276" w:lineRule="auto"/>
        <w:ind w:firstLine="720"/>
        <w:jc w:val="both"/>
        <w:rPr>
          <w:rFonts w:ascii="Arial" w:eastAsia="Times New Roman" w:hAnsi="Arial" w:cs="Arial"/>
          <w:color w:val="000000"/>
          <w:lang w:eastAsia="en-CA"/>
        </w:rPr>
      </w:pPr>
      <w:r w:rsidRPr="00B36023">
        <w:rPr>
          <w:rFonts w:ascii="Arial" w:eastAsia="Times New Roman" w:hAnsi="Arial" w:cs="Arial"/>
          <w:color w:val="000000"/>
          <w:lang w:eastAsia="en-CA"/>
        </w:rPr>
        <w:t>The UC Berkeley Institute of Governmental Studies conducted a poll for the Los Angeles Times in 2019, shortly after PG&amp;E filed for bankruptcy.</w:t>
      </w:r>
      <w:r w:rsidR="00BC0C52">
        <w:rPr>
          <w:rStyle w:val="EndnoteReference"/>
          <w:rFonts w:ascii="Arial" w:eastAsia="Times New Roman" w:hAnsi="Arial" w:cs="Arial"/>
          <w:color w:val="000000"/>
          <w:lang w:eastAsia="en-CA"/>
        </w:rPr>
        <w:endnoteReference w:id="35"/>
      </w:r>
      <w:r w:rsidR="00BC0C52">
        <w:rPr>
          <w:rFonts w:ascii="Arial" w:eastAsia="Times New Roman" w:hAnsi="Arial" w:cs="Arial"/>
          <w:color w:val="000000"/>
          <w:lang w:eastAsia="en-CA"/>
        </w:rPr>
        <w:t xml:space="preserve"> </w:t>
      </w:r>
      <w:r w:rsidRPr="00B36023">
        <w:rPr>
          <w:rFonts w:ascii="Arial" w:eastAsia="Times New Roman" w:hAnsi="Arial" w:cs="Arial"/>
          <w:color w:val="000000"/>
          <w:lang w:eastAsia="en-CA"/>
        </w:rPr>
        <w:t>The poll was conducted between November 21 and 26, covering a total of 3,482 California voters</w:t>
      </w:r>
      <w:r w:rsidR="00BC0C52">
        <w:rPr>
          <w:rFonts w:ascii="Arial" w:eastAsia="Times New Roman" w:hAnsi="Arial" w:cs="Arial"/>
          <w:color w:val="000000"/>
          <w:lang w:eastAsia="en-CA"/>
        </w:rPr>
        <w:t>.</w:t>
      </w:r>
      <w:r w:rsidR="00BC0C52">
        <w:rPr>
          <w:rStyle w:val="EndnoteReference"/>
          <w:rFonts w:ascii="Arial" w:eastAsia="Times New Roman" w:hAnsi="Arial" w:cs="Arial"/>
          <w:color w:val="000000"/>
          <w:lang w:eastAsia="en-CA"/>
        </w:rPr>
        <w:endnoteReference w:id="36"/>
      </w:r>
      <w:r w:rsidR="00BC0C52">
        <w:rPr>
          <w:rFonts w:ascii="Arial" w:eastAsia="Times New Roman" w:hAnsi="Arial" w:cs="Arial"/>
          <w:color w:val="000000"/>
          <w:lang w:eastAsia="en-CA"/>
        </w:rPr>
        <w:t xml:space="preserve"> </w:t>
      </w:r>
      <w:r w:rsidRPr="00B36023">
        <w:rPr>
          <w:rFonts w:ascii="Arial" w:eastAsia="Times New Roman" w:hAnsi="Arial" w:cs="Arial"/>
          <w:color w:val="000000"/>
          <w:lang w:eastAsia="en-CA"/>
        </w:rPr>
        <w:t>When asking voters what the best path forward for PG&amp;E is, results from the Berkeley poll indicated that:</w:t>
      </w:r>
    </w:p>
    <w:p w14:paraId="2A49D41E" w14:textId="77777777" w:rsidR="00BC0C52" w:rsidRPr="00B36023" w:rsidRDefault="00BC0C52" w:rsidP="00BC0C52">
      <w:pPr>
        <w:spacing w:after="0" w:line="276" w:lineRule="auto"/>
        <w:ind w:firstLine="720"/>
        <w:jc w:val="both"/>
        <w:rPr>
          <w:rFonts w:ascii="Arial" w:eastAsia="Times New Roman" w:hAnsi="Arial" w:cs="Arial"/>
          <w:color w:val="000000"/>
          <w:lang w:eastAsia="en-CA"/>
        </w:rPr>
      </w:pPr>
    </w:p>
    <w:p w14:paraId="2BEDAC91" w14:textId="10659F24" w:rsidR="00B36023" w:rsidRPr="00BC0C52" w:rsidRDefault="00B36023" w:rsidP="00BC0C52">
      <w:pPr>
        <w:pStyle w:val="ListParagraph"/>
        <w:numPr>
          <w:ilvl w:val="0"/>
          <w:numId w:val="7"/>
        </w:numPr>
        <w:spacing w:after="0" w:line="276" w:lineRule="auto"/>
        <w:rPr>
          <w:rFonts w:ascii="Arial" w:eastAsia="Times New Roman" w:hAnsi="Arial" w:cs="Arial"/>
          <w:color w:val="000000"/>
          <w:lang w:eastAsia="en-CA"/>
        </w:rPr>
      </w:pPr>
      <w:r w:rsidRPr="00BC0C52">
        <w:rPr>
          <w:rFonts w:ascii="Arial" w:eastAsia="Times New Roman" w:hAnsi="Arial" w:cs="Arial"/>
          <w:color w:val="000000"/>
          <w:lang w:eastAsia="en-CA"/>
        </w:rPr>
        <w:t>35 percent of voters said they would allow PG&amp;E to remain an investor-owned utility.</w:t>
      </w:r>
      <w:r w:rsidR="00BC0C52">
        <w:rPr>
          <w:rStyle w:val="EndnoteReference"/>
          <w:rFonts w:ascii="Arial" w:eastAsia="Times New Roman" w:hAnsi="Arial" w:cs="Arial"/>
          <w:color w:val="000000"/>
          <w:lang w:eastAsia="en-CA"/>
        </w:rPr>
        <w:endnoteReference w:id="37"/>
      </w:r>
      <w:r w:rsidRPr="00BC0C52">
        <w:rPr>
          <w:rFonts w:ascii="Arial" w:eastAsia="Times New Roman" w:hAnsi="Arial" w:cs="Arial"/>
          <w:color w:val="000000"/>
          <w:lang w:eastAsia="en-CA"/>
        </w:rPr>
        <w:t xml:space="preserve"> </w:t>
      </w:r>
    </w:p>
    <w:p w14:paraId="24E8F17C" w14:textId="2572BF17" w:rsidR="00B36023" w:rsidRPr="00BC0C52" w:rsidRDefault="00B36023" w:rsidP="00BC0C52">
      <w:pPr>
        <w:pStyle w:val="ListParagraph"/>
        <w:numPr>
          <w:ilvl w:val="0"/>
          <w:numId w:val="7"/>
        </w:numPr>
        <w:spacing w:after="0" w:line="276" w:lineRule="auto"/>
        <w:rPr>
          <w:rFonts w:ascii="Arial" w:eastAsia="Times New Roman" w:hAnsi="Arial" w:cs="Arial"/>
          <w:color w:val="000000"/>
          <w:lang w:eastAsia="en-CA"/>
        </w:rPr>
      </w:pPr>
      <w:r w:rsidRPr="00BC0C52">
        <w:rPr>
          <w:rFonts w:ascii="Arial" w:eastAsia="Times New Roman" w:hAnsi="Arial" w:cs="Arial"/>
          <w:color w:val="000000"/>
          <w:lang w:eastAsia="en-CA"/>
        </w:rPr>
        <w:t>37 percent of voters supported government-run models.</w:t>
      </w:r>
      <w:r w:rsidR="00BC0C52">
        <w:rPr>
          <w:rStyle w:val="EndnoteReference"/>
          <w:rFonts w:ascii="Arial" w:eastAsia="Times New Roman" w:hAnsi="Arial" w:cs="Arial"/>
          <w:color w:val="000000"/>
          <w:lang w:eastAsia="en-CA"/>
        </w:rPr>
        <w:endnoteReference w:id="38"/>
      </w:r>
      <w:r w:rsidRPr="00BC0C52">
        <w:rPr>
          <w:rFonts w:ascii="Arial" w:eastAsia="Times New Roman" w:hAnsi="Arial" w:cs="Arial"/>
          <w:color w:val="000000"/>
          <w:lang w:eastAsia="en-CA"/>
        </w:rPr>
        <w:t xml:space="preserve"> </w:t>
      </w:r>
    </w:p>
    <w:p w14:paraId="1784F1EC" w14:textId="6E7761B7" w:rsidR="00B36023" w:rsidRDefault="00B36023" w:rsidP="00BC0C52">
      <w:pPr>
        <w:pStyle w:val="ListParagraph"/>
        <w:numPr>
          <w:ilvl w:val="0"/>
          <w:numId w:val="7"/>
        </w:numPr>
        <w:spacing w:after="0" w:line="276" w:lineRule="auto"/>
        <w:rPr>
          <w:rFonts w:ascii="Arial" w:eastAsia="Times New Roman" w:hAnsi="Arial" w:cs="Arial"/>
          <w:color w:val="000000"/>
          <w:lang w:eastAsia="en-CA"/>
        </w:rPr>
      </w:pPr>
      <w:r w:rsidRPr="00BC0C52">
        <w:rPr>
          <w:rFonts w:ascii="Arial" w:eastAsia="Times New Roman" w:hAnsi="Arial" w:cs="Arial"/>
          <w:color w:val="000000"/>
          <w:lang w:eastAsia="en-CA"/>
        </w:rPr>
        <w:t>Roughly 28 percent offered no opinion at all.</w:t>
      </w:r>
      <w:r w:rsidR="00BC0C52">
        <w:rPr>
          <w:rStyle w:val="EndnoteReference"/>
          <w:rFonts w:ascii="Arial" w:eastAsia="Times New Roman" w:hAnsi="Arial" w:cs="Arial"/>
          <w:color w:val="000000"/>
          <w:lang w:eastAsia="en-CA"/>
        </w:rPr>
        <w:endnoteReference w:id="39"/>
      </w:r>
      <w:r w:rsidRPr="00BC0C52">
        <w:rPr>
          <w:rFonts w:ascii="Arial" w:eastAsia="Times New Roman" w:hAnsi="Arial" w:cs="Arial"/>
          <w:color w:val="000000"/>
          <w:lang w:eastAsia="en-CA"/>
        </w:rPr>
        <w:t xml:space="preserve"> </w:t>
      </w:r>
    </w:p>
    <w:p w14:paraId="00C9BD77" w14:textId="77777777" w:rsidR="00BC0C52" w:rsidRPr="00BC0C52" w:rsidRDefault="00BC0C52" w:rsidP="00BC0C52">
      <w:pPr>
        <w:pStyle w:val="ListParagraph"/>
        <w:spacing w:after="0" w:line="276" w:lineRule="auto"/>
        <w:ind w:left="360"/>
        <w:rPr>
          <w:rFonts w:ascii="Arial" w:eastAsia="Times New Roman" w:hAnsi="Arial" w:cs="Arial"/>
          <w:color w:val="000000"/>
          <w:lang w:eastAsia="en-CA"/>
        </w:rPr>
      </w:pPr>
    </w:p>
    <w:p w14:paraId="4B458780" w14:textId="16104BE9" w:rsidR="00BC0C52" w:rsidRPr="00B36023" w:rsidRDefault="00B36023" w:rsidP="00BC0C52">
      <w:pPr>
        <w:spacing w:after="0" w:line="276" w:lineRule="auto"/>
        <w:jc w:val="both"/>
        <w:rPr>
          <w:rFonts w:ascii="Arial" w:eastAsia="Times New Roman" w:hAnsi="Arial" w:cs="Arial"/>
          <w:color w:val="000000"/>
          <w:lang w:eastAsia="en-CA"/>
        </w:rPr>
      </w:pPr>
      <w:r w:rsidRPr="00B36023">
        <w:rPr>
          <w:rFonts w:ascii="Arial" w:eastAsia="Times New Roman" w:hAnsi="Arial" w:cs="Arial"/>
          <w:color w:val="000000"/>
          <w:lang w:eastAsia="en-CA"/>
        </w:rPr>
        <w:t>Additional results found that:</w:t>
      </w:r>
    </w:p>
    <w:p w14:paraId="198E63F3" w14:textId="5F02D7FB" w:rsidR="00B36023" w:rsidRPr="00BC0C52" w:rsidRDefault="00B36023" w:rsidP="00BC0C52">
      <w:pPr>
        <w:pStyle w:val="ListParagraph"/>
        <w:numPr>
          <w:ilvl w:val="0"/>
          <w:numId w:val="9"/>
        </w:numPr>
        <w:spacing w:after="0" w:line="276" w:lineRule="auto"/>
        <w:rPr>
          <w:rFonts w:ascii="Arial" w:eastAsia="Times New Roman" w:hAnsi="Arial" w:cs="Arial"/>
          <w:color w:val="000000"/>
          <w:lang w:eastAsia="en-CA"/>
        </w:rPr>
      </w:pPr>
      <w:r w:rsidRPr="00BC0C52">
        <w:rPr>
          <w:rFonts w:ascii="Arial" w:eastAsia="Times New Roman" w:hAnsi="Arial" w:cs="Arial"/>
          <w:color w:val="000000"/>
          <w:lang w:eastAsia="en-CA"/>
        </w:rPr>
        <w:t>About 14 percent of likely voters “endorsed splitting PG&amp;E’s gas and electricity divisions into two separate companies that would remain investor-owned and regulated by the California Public Utilities Commission.”</w:t>
      </w:r>
      <w:r w:rsidR="00BC0C52">
        <w:rPr>
          <w:rStyle w:val="EndnoteReference"/>
          <w:rFonts w:ascii="Arial" w:eastAsia="Times New Roman" w:hAnsi="Arial" w:cs="Arial"/>
          <w:color w:val="000000"/>
          <w:lang w:eastAsia="en-CA"/>
        </w:rPr>
        <w:endnoteReference w:id="40"/>
      </w:r>
      <w:r w:rsidRPr="00BC0C52">
        <w:rPr>
          <w:rFonts w:ascii="Arial" w:eastAsia="Times New Roman" w:hAnsi="Arial" w:cs="Arial"/>
          <w:color w:val="000000"/>
          <w:lang w:eastAsia="en-CA"/>
        </w:rPr>
        <w:t xml:space="preserve"> </w:t>
      </w:r>
    </w:p>
    <w:p w14:paraId="069D179B" w14:textId="5BB66632" w:rsidR="00B36023" w:rsidRPr="00BC0C52" w:rsidRDefault="00B36023" w:rsidP="00BC0C52">
      <w:pPr>
        <w:pStyle w:val="ListParagraph"/>
        <w:numPr>
          <w:ilvl w:val="0"/>
          <w:numId w:val="9"/>
        </w:numPr>
        <w:spacing w:after="0" w:line="276" w:lineRule="auto"/>
        <w:rPr>
          <w:rFonts w:ascii="Arial" w:eastAsia="Times New Roman" w:hAnsi="Arial" w:cs="Arial"/>
          <w:color w:val="000000"/>
          <w:lang w:eastAsia="en-CA"/>
        </w:rPr>
      </w:pPr>
      <w:r w:rsidRPr="00BC0C52">
        <w:rPr>
          <w:rFonts w:ascii="Arial" w:eastAsia="Times New Roman" w:hAnsi="Arial" w:cs="Arial"/>
          <w:color w:val="000000"/>
          <w:lang w:eastAsia="en-CA"/>
        </w:rPr>
        <w:t>Roughly 17 percent said that “PG&amp;E should be converted into a state-run agency, with government officials responsible for fixing its problems in the future.”</w:t>
      </w:r>
      <w:r w:rsidR="00BC0C52">
        <w:rPr>
          <w:rStyle w:val="EndnoteReference"/>
          <w:rFonts w:ascii="Arial" w:eastAsia="Times New Roman" w:hAnsi="Arial" w:cs="Arial"/>
          <w:color w:val="000000"/>
          <w:lang w:eastAsia="en-CA"/>
        </w:rPr>
        <w:endnoteReference w:id="41"/>
      </w:r>
      <w:r w:rsidRPr="00BC0C52">
        <w:rPr>
          <w:rFonts w:ascii="Arial" w:eastAsia="Times New Roman" w:hAnsi="Arial" w:cs="Arial"/>
          <w:color w:val="000000"/>
          <w:lang w:eastAsia="en-CA"/>
        </w:rPr>
        <w:t xml:space="preserve"> </w:t>
      </w:r>
    </w:p>
    <w:p w14:paraId="1EEF0D42" w14:textId="54BBC4F2" w:rsidR="00B36023" w:rsidRPr="00BC0C52" w:rsidRDefault="00B36023" w:rsidP="00BC0C52">
      <w:pPr>
        <w:pStyle w:val="ListParagraph"/>
        <w:numPr>
          <w:ilvl w:val="0"/>
          <w:numId w:val="9"/>
        </w:numPr>
        <w:spacing w:after="0" w:line="276" w:lineRule="auto"/>
        <w:rPr>
          <w:rFonts w:ascii="Arial" w:eastAsia="Times New Roman" w:hAnsi="Arial" w:cs="Arial"/>
          <w:color w:val="000000"/>
          <w:lang w:eastAsia="en-CA"/>
        </w:rPr>
      </w:pPr>
      <w:r w:rsidRPr="00BC0C52">
        <w:rPr>
          <w:rFonts w:ascii="Arial" w:eastAsia="Times New Roman" w:hAnsi="Arial" w:cs="Arial"/>
          <w:color w:val="000000"/>
          <w:lang w:eastAsia="en-CA"/>
        </w:rPr>
        <w:t>Twenty percent want to “divide the company into smaller, non-profit city and county cooperatives.”</w:t>
      </w:r>
      <w:r w:rsidR="00BC0C52">
        <w:rPr>
          <w:rStyle w:val="EndnoteReference"/>
          <w:rFonts w:ascii="Arial" w:eastAsia="Times New Roman" w:hAnsi="Arial" w:cs="Arial"/>
          <w:color w:val="000000"/>
          <w:lang w:eastAsia="en-CA"/>
        </w:rPr>
        <w:endnoteReference w:id="42"/>
      </w:r>
      <w:r w:rsidRPr="00BC0C52">
        <w:rPr>
          <w:rFonts w:ascii="Arial" w:eastAsia="Times New Roman" w:hAnsi="Arial" w:cs="Arial"/>
          <w:color w:val="000000"/>
          <w:lang w:eastAsia="en-CA"/>
        </w:rPr>
        <w:t xml:space="preserve"> </w:t>
      </w:r>
    </w:p>
    <w:p w14:paraId="0773988A" w14:textId="10C3E81B" w:rsidR="003E384A" w:rsidRPr="003E384A" w:rsidRDefault="003E384A" w:rsidP="003E384A">
      <w:pPr>
        <w:spacing w:after="0" w:line="276" w:lineRule="auto"/>
        <w:jc w:val="both"/>
        <w:rPr>
          <w:rFonts w:ascii="Times New Roman" w:eastAsia="Times New Roman" w:hAnsi="Times New Roman" w:cs="Times New Roman"/>
          <w:sz w:val="24"/>
          <w:szCs w:val="24"/>
          <w:lang w:bidi="he-IL"/>
        </w:rPr>
      </w:pPr>
      <w:r>
        <w:rPr>
          <w:noProof/>
        </w:rPr>
        <mc:AlternateContent>
          <mc:Choice Requires="wps">
            <w:drawing>
              <wp:anchor distT="0" distB="0" distL="114300" distR="114300" simplePos="0" relativeHeight="251658248" behindDoc="0" locked="0" layoutInCell="1" allowOverlap="1" wp14:anchorId="2214118C" wp14:editId="5010C109">
                <wp:simplePos x="0" y="0"/>
                <wp:positionH relativeFrom="column">
                  <wp:posOffset>-33655</wp:posOffset>
                </wp:positionH>
                <wp:positionV relativeFrom="paragraph">
                  <wp:posOffset>1935480</wp:posOffset>
                </wp:positionV>
                <wp:extent cx="3433445" cy="165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433445" cy="165600"/>
                        </a:xfrm>
                        <a:prstGeom prst="rect">
                          <a:avLst/>
                        </a:prstGeom>
                        <a:solidFill>
                          <a:prstClr val="white"/>
                        </a:solidFill>
                        <a:ln>
                          <a:noFill/>
                        </a:ln>
                      </wps:spPr>
                      <wps:txbx>
                        <w:txbxContent>
                          <w:p w14:paraId="1C17A6D9" w14:textId="66413595" w:rsidR="003E384A" w:rsidRPr="00AA5F6D" w:rsidRDefault="003E384A" w:rsidP="003E384A">
                            <w:pPr>
                              <w:pStyle w:val="Caption"/>
                              <w:jc w:val="center"/>
                              <w:rPr>
                                <w:rFonts w:ascii="Times New Roman" w:eastAsia="Times New Roman" w:hAnsi="Times New Roman" w:cs="Times New Roman"/>
                                <w:noProof/>
                                <w:sz w:val="24"/>
                                <w:szCs w:val="24"/>
                              </w:rPr>
                            </w:pPr>
                            <w:r>
                              <w:t>Figure 4:</w:t>
                            </w:r>
                            <w:r>
                              <w:rPr>
                                <w:noProof/>
                              </w:rPr>
                              <w:t xml:space="preserve"> </w:t>
                            </w:r>
                            <w:r w:rsidR="00AD09DE">
                              <w:rPr>
                                <w:noProof/>
                              </w:rPr>
                              <w:t>Protestors</w:t>
                            </w:r>
                            <w:r w:rsidR="00102B9C">
                              <w:rPr>
                                <w:noProof/>
                              </w:rPr>
                              <w:t xml:space="preserve"> in favour of privatizing PG&amp;E</w:t>
                            </w:r>
                            <w:r w:rsidR="00AD09DE">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118C" id="Text Box 14" o:spid="_x0000_s1029" type="#_x0000_t202" style="position:absolute;left:0;text-align:left;margin-left:-2.65pt;margin-top:152.4pt;width:270.35pt;height:13.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" stroked="f">
                <v:textbox inset="0,0,0,0">
                  <w:txbxContent>
                    <w:p w14:paraId="1C17A6D9" w14:textId="66413595" w:rsidR="003E384A" w:rsidRPr="00AA5F6D" w:rsidRDefault="003E384A" w:rsidP="003E384A">
                      <w:pPr>
                        <w:pStyle w:val="Caption"/>
                        <w:jc w:val="center"/>
                        <w:rPr>
                          <w:rFonts w:ascii="Times New Roman" w:eastAsia="Times New Roman" w:hAnsi="Times New Roman" w:cs="Times New Roman"/>
                          <w:noProof/>
                          <w:sz w:val="24"/>
                          <w:szCs w:val="24"/>
                        </w:rPr>
                      </w:pPr>
                      <w:r>
                        <w:t>Figure 4:</w:t>
                      </w:r>
                      <w:r>
                        <w:rPr>
                          <w:noProof/>
                        </w:rPr>
                        <w:t xml:space="preserve"> </w:t>
                      </w:r>
                      <w:r w:rsidR="00AD09DE">
                        <w:rPr>
                          <w:noProof/>
                        </w:rPr>
                        <w:t>Protestors</w:t>
                      </w:r>
                      <w:r w:rsidR="00102B9C">
                        <w:rPr>
                          <w:noProof/>
                        </w:rPr>
                        <w:t xml:space="preserve"> in favour of privatizing PG&amp;E</w:t>
                      </w:r>
                      <w:r w:rsidR="00AD09DE">
                        <w:rPr>
                          <w:noProof/>
                        </w:rPr>
                        <w:t xml:space="preserve"> </w:t>
                      </w:r>
                    </w:p>
                  </w:txbxContent>
                </v:textbox>
                <w10:wrap type="square"/>
              </v:shape>
            </w:pict>
          </mc:Fallback>
        </mc:AlternateContent>
      </w:r>
      <w:r w:rsidRPr="003E384A">
        <w:rPr>
          <w:rFonts w:ascii="Times New Roman" w:eastAsia="Times New Roman" w:hAnsi="Times New Roman" w:cs="Times New Roman"/>
          <w:sz w:val="24"/>
          <w:szCs w:val="24"/>
          <w:lang w:bidi="he-IL"/>
        </w:rPr>
        <w:fldChar w:fldCharType="begin"/>
      </w:r>
      <w:r w:rsidRPr="003E384A">
        <w:rPr>
          <w:rFonts w:ascii="Times New Roman" w:eastAsia="Times New Roman" w:hAnsi="Times New Roman" w:cs="Times New Roman"/>
          <w:sz w:val="24"/>
          <w:szCs w:val="24"/>
          <w:lang w:bidi="he-IL"/>
        </w:rPr>
        <w:instrText xml:space="preserve"> INCLUDEPICTURE "/var/folders/fs/jhtxr97s5tj944xtp_h6z32w0000gn/T/com.microsoft.Word/WebArchiveCopyPasteTempFiles/gettyimages-1081136430.jpg" \* MERGEFORMATINET </w:instrText>
      </w:r>
      <w:r w:rsidRPr="003E384A">
        <w:rPr>
          <w:rFonts w:ascii="Times New Roman" w:eastAsia="Times New Roman" w:hAnsi="Times New Roman" w:cs="Times New Roman"/>
          <w:sz w:val="24"/>
          <w:szCs w:val="24"/>
          <w:lang w:bidi="he-IL"/>
        </w:rPr>
        <w:fldChar w:fldCharType="separate"/>
      </w:r>
      <w:r w:rsidRPr="003E384A">
        <w:rPr>
          <w:rFonts w:ascii="Times New Roman" w:eastAsia="Times New Roman" w:hAnsi="Times New Roman" w:cs="Times New Roman"/>
          <w:noProof/>
          <w:sz w:val="24"/>
          <w:szCs w:val="24"/>
          <w:lang w:bidi="he-IL"/>
        </w:rPr>
        <w:drawing>
          <wp:inline distT="0" distB="0" distL="0" distR="0" wp14:anchorId="71726E00" wp14:editId="2D316604">
            <wp:extent cx="3399790" cy="1912620"/>
            <wp:effectExtent l="0" t="0" r="3810" b="5080"/>
            <wp:docPr id="13" name="Picture 13" descr="Could California Take Public Ownership of PG&amp;E? - Pacific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uld California Take Public Ownership of PG&amp;E? - Pacific Standa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9790" cy="1912620"/>
                    </a:xfrm>
                    <a:prstGeom prst="rect">
                      <a:avLst/>
                    </a:prstGeom>
                    <a:noFill/>
                    <a:ln>
                      <a:noFill/>
                    </a:ln>
                  </pic:spPr>
                </pic:pic>
              </a:graphicData>
            </a:graphic>
          </wp:inline>
        </w:drawing>
      </w:r>
      <w:r w:rsidRPr="003E384A">
        <w:rPr>
          <w:rFonts w:ascii="Times New Roman" w:eastAsia="Times New Roman" w:hAnsi="Times New Roman" w:cs="Times New Roman"/>
          <w:sz w:val="24"/>
          <w:szCs w:val="24"/>
          <w:lang w:bidi="he-IL"/>
        </w:rPr>
        <w:fldChar w:fldCharType="end"/>
      </w:r>
    </w:p>
    <w:p w14:paraId="466BDF49" w14:textId="61FE805A" w:rsidR="00B36023" w:rsidRPr="00B36023" w:rsidRDefault="00B36023" w:rsidP="003E384A">
      <w:pPr>
        <w:spacing w:after="0" w:line="276" w:lineRule="auto"/>
        <w:ind w:firstLine="720"/>
        <w:jc w:val="both"/>
        <w:rPr>
          <w:rFonts w:ascii="Arial" w:eastAsia="Times New Roman" w:hAnsi="Arial" w:cs="Arial"/>
          <w:color w:val="000000"/>
          <w:lang w:eastAsia="en-CA"/>
        </w:rPr>
      </w:pPr>
      <w:r w:rsidRPr="00B36023">
        <w:rPr>
          <w:rFonts w:ascii="Arial" w:eastAsia="Times New Roman" w:hAnsi="Arial" w:cs="Arial"/>
          <w:color w:val="000000"/>
          <w:lang w:eastAsia="en-CA"/>
        </w:rPr>
        <w:t xml:space="preserve">Pacific Gas &amp; Electric’s investor-owned-utility model has stirred controversy, influencing the growing movement among Californians to seek alternative models to which the utility is owned and operated from. Sentiments range from the current model prioritizing profits over ensuring their equipment upholds safety standards, victims of wildfires are adequately compensated, and the cost of utilities are manageable per household. </w:t>
      </w:r>
    </w:p>
    <w:p w14:paraId="4B6064F6" w14:textId="09324ED8" w:rsidR="00B36023" w:rsidRPr="00B36023" w:rsidRDefault="003E384A" w:rsidP="003E384A">
      <w:pPr>
        <w:spacing w:after="0" w:line="276" w:lineRule="auto"/>
        <w:ind w:firstLine="720"/>
        <w:jc w:val="both"/>
        <w:rPr>
          <w:rFonts w:ascii="Arial" w:eastAsia="Times New Roman" w:hAnsi="Arial" w:cs="Arial"/>
          <w:color w:val="000000"/>
          <w:lang w:eastAsia="en-CA"/>
        </w:rPr>
      </w:pPr>
      <w:r w:rsidRPr="004A45BE">
        <w:rPr>
          <w:rFonts w:ascii="Times New Roman" w:eastAsia="Times New Roman" w:hAnsi="Times New Roman" w:cs="Times New Roman"/>
          <w:noProof/>
          <w:sz w:val="24"/>
          <w:szCs w:val="24"/>
          <w:lang w:bidi="he-IL"/>
        </w:rPr>
        <w:drawing>
          <wp:anchor distT="0" distB="0" distL="0" distR="0" simplePos="0" relativeHeight="251658247" behindDoc="0" locked="0" layoutInCell="1" allowOverlap="1" wp14:anchorId="2167DCA2" wp14:editId="49810B69">
            <wp:simplePos x="0" y="0"/>
            <wp:positionH relativeFrom="column">
              <wp:posOffset>3669030</wp:posOffset>
            </wp:positionH>
            <wp:positionV relativeFrom="paragraph">
              <wp:posOffset>605088</wp:posOffset>
            </wp:positionV>
            <wp:extent cx="3398400" cy="1785600"/>
            <wp:effectExtent l="0" t="0" r="0" b="5715"/>
            <wp:wrapSquare wrapText="bothSides"/>
            <wp:docPr id="8" name="Picture 8" descr="Virtual Safety Town Hall June 2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rtual Safety Town Hall June 2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8400" cy="17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023" w:rsidRPr="00B36023">
        <w:rPr>
          <w:rFonts w:ascii="Arial" w:eastAsia="Times New Roman" w:hAnsi="Arial" w:cs="Arial"/>
          <w:color w:val="000000"/>
          <w:lang w:eastAsia="en-CA"/>
        </w:rPr>
        <w:t>In 2020, PG&amp;E “agreed to forgo paying shareholder dividends for about three years, accept more stringent state oversight and replace certain existing financing with $7.5 billion of securitization financing to reduce the rate impact on customers and to accelerate payments to wildfire victims.”</w:t>
      </w:r>
      <w:r w:rsidR="00BC0C52">
        <w:rPr>
          <w:rStyle w:val="EndnoteReference"/>
          <w:rFonts w:ascii="Arial" w:eastAsia="Times New Roman" w:hAnsi="Arial" w:cs="Arial"/>
          <w:color w:val="000000"/>
          <w:lang w:eastAsia="en-CA"/>
        </w:rPr>
        <w:endnoteReference w:id="43"/>
      </w:r>
      <w:r w:rsidR="00BC0C52">
        <w:rPr>
          <w:rFonts w:ascii="Arial" w:eastAsia="Times New Roman" w:hAnsi="Arial" w:cs="Arial"/>
          <w:color w:val="000000"/>
          <w:lang w:eastAsia="en-CA"/>
        </w:rPr>
        <w:t xml:space="preserve"> </w:t>
      </w:r>
      <w:r w:rsidR="00B36023" w:rsidRPr="00B36023">
        <w:rPr>
          <w:rFonts w:ascii="Arial" w:eastAsia="Times New Roman" w:hAnsi="Arial" w:cs="Arial"/>
          <w:color w:val="000000"/>
          <w:lang w:eastAsia="en-CA"/>
        </w:rPr>
        <w:t>However, the detrimental effects already felt by those victim to PG&amp;E activity has resulted in growing antipathy towards investor-owned utilities and Wall Street, as they are accountable only to its shareholders.</w:t>
      </w:r>
    </w:p>
    <w:p w14:paraId="195ACD21" w14:textId="0B5043EB" w:rsidR="00773940" w:rsidRDefault="004A45BE" w:rsidP="003E384A">
      <w:pPr>
        <w:spacing w:after="0" w:line="276" w:lineRule="auto"/>
        <w:ind w:firstLine="720"/>
        <w:jc w:val="both"/>
        <w:rPr>
          <w:rFonts w:ascii="Times New Roman" w:eastAsia="Times New Roman" w:hAnsi="Times New Roman" w:cs="Times New Roman"/>
          <w:sz w:val="24"/>
          <w:szCs w:val="24"/>
          <w:lang w:eastAsia="en-CA"/>
        </w:rPr>
      </w:pPr>
      <w:r>
        <w:rPr>
          <w:noProof/>
        </w:rPr>
        <mc:AlternateContent>
          <mc:Choice Requires="wps">
            <w:drawing>
              <wp:anchor distT="0" distB="0" distL="114300" distR="114300" simplePos="0" relativeHeight="251658246" behindDoc="0" locked="0" layoutInCell="1" allowOverlap="1" wp14:anchorId="26B6F1F5" wp14:editId="2986EBA4">
                <wp:simplePos x="0" y="0"/>
                <wp:positionH relativeFrom="column">
                  <wp:posOffset>3674745</wp:posOffset>
                </wp:positionH>
                <wp:positionV relativeFrom="paragraph">
                  <wp:posOffset>1123950</wp:posOffset>
                </wp:positionV>
                <wp:extent cx="3433445" cy="165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433445" cy="165600"/>
                        </a:xfrm>
                        <a:prstGeom prst="rect">
                          <a:avLst/>
                        </a:prstGeom>
                        <a:solidFill>
                          <a:prstClr val="white"/>
                        </a:solidFill>
                        <a:ln>
                          <a:noFill/>
                        </a:ln>
                      </wps:spPr>
                      <wps:txbx>
                        <w:txbxContent>
                          <w:p w14:paraId="22166A6D" w14:textId="2EE51E88" w:rsidR="004A45BE" w:rsidRPr="00AA5F6D" w:rsidRDefault="004A45BE" w:rsidP="004A45BE">
                            <w:pPr>
                              <w:pStyle w:val="Caption"/>
                              <w:jc w:val="center"/>
                              <w:rPr>
                                <w:rFonts w:ascii="Times New Roman" w:eastAsia="Times New Roman" w:hAnsi="Times New Roman" w:cs="Times New Roman"/>
                                <w:noProof/>
                                <w:sz w:val="24"/>
                                <w:szCs w:val="24"/>
                              </w:rPr>
                            </w:pPr>
                            <w:r>
                              <w:t xml:space="preserve">Figure </w:t>
                            </w:r>
                            <w:r w:rsidR="00102B9C">
                              <w:t>5</w:t>
                            </w:r>
                            <w:r>
                              <w:t>:</w:t>
                            </w:r>
                            <w:r>
                              <w:rPr>
                                <w:noProof/>
                              </w:rPr>
                              <w:t xml:space="preserve"> Advertisement for a PG&amp;E Virtual Safety Town Hall in Sonoma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6F1F5" id="Text Box 9" o:spid="_x0000_s1030" type="#_x0000_t202" style="position:absolute;left:0;text-align:left;margin-left:289.35pt;margin-top:88.5pt;width:270.35pt;height:13.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" stroked="f">
                <v:textbox inset="0,0,0,0">
                  <w:txbxContent>
                    <w:p w14:paraId="22166A6D" w14:textId="2EE51E88" w:rsidR="004A45BE" w:rsidRPr="00AA5F6D" w:rsidRDefault="004A45BE" w:rsidP="004A45BE">
                      <w:pPr>
                        <w:pStyle w:val="Caption"/>
                        <w:jc w:val="center"/>
                        <w:rPr>
                          <w:rFonts w:ascii="Times New Roman" w:eastAsia="Times New Roman" w:hAnsi="Times New Roman" w:cs="Times New Roman"/>
                          <w:noProof/>
                          <w:sz w:val="24"/>
                          <w:szCs w:val="24"/>
                        </w:rPr>
                      </w:pPr>
                      <w:r>
                        <w:t xml:space="preserve">Figure </w:t>
                      </w:r>
                      <w:r w:rsidR="00102B9C">
                        <w:t>5</w:t>
                      </w:r>
                      <w:r>
                        <w:t>:</w:t>
                      </w:r>
                      <w:r>
                        <w:rPr>
                          <w:noProof/>
                        </w:rPr>
                        <w:t xml:space="preserve"> Advertisement for a PG&amp;E Virtual Safety Town Hall in Sonoma</w:t>
                      </w:r>
                    </w:p>
                  </w:txbxContent>
                </v:textbox>
                <w10:wrap type="square"/>
              </v:shape>
            </w:pict>
          </mc:Fallback>
        </mc:AlternateContent>
      </w:r>
      <w:r w:rsidR="00B36023" w:rsidRPr="00B36023">
        <w:rPr>
          <w:rFonts w:ascii="Arial" w:eastAsia="Times New Roman" w:hAnsi="Arial" w:cs="Arial"/>
          <w:color w:val="000000"/>
          <w:lang w:eastAsia="en-CA"/>
        </w:rPr>
        <w:t xml:space="preserve">The consideration of PG&amp;E’s growing dissatisfaction rates, alongside the significant number of Californian voters either opting to alter its current </w:t>
      </w:r>
      <w:r w:rsidR="00B36023" w:rsidRPr="00B36023">
        <w:rPr>
          <w:rFonts w:ascii="Arial" w:eastAsia="Times New Roman" w:hAnsi="Arial" w:cs="Arial"/>
          <w:color w:val="000000"/>
          <w:lang w:eastAsia="en-CA"/>
        </w:rPr>
        <w:t>investor-owned model or turn PG&amp;E into a state-owned utility, give reason to considerably reconsider the company’s current model of operations as its long-term viability depends on it.</w:t>
      </w:r>
    </w:p>
    <w:p w14:paraId="04E3C97B" w14:textId="77777777" w:rsidR="0001147C" w:rsidRDefault="0001147C" w:rsidP="003E384A">
      <w:pPr>
        <w:spacing w:after="0" w:line="276" w:lineRule="auto"/>
        <w:jc w:val="both"/>
        <w:rPr>
          <w:rFonts w:ascii="Arial" w:eastAsia="Times New Roman" w:hAnsi="Arial" w:cs="Arial"/>
          <w:b/>
          <w:bCs/>
          <w:i/>
          <w:iCs/>
          <w:color w:val="345A8A"/>
          <w:sz w:val="28"/>
          <w:szCs w:val="28"/>
          <w:lang w:eastAsia="en-CA"/>
        </w:rPr>
      </w:pPr>
    </w:p>
    <w:p w14:paraId="6C3D998C" w14:textId="7D06B1E6" w:rsidR="00B36023" w:rsidRPr="00B36023" w:rsidRDefault="00B36023" w:rsidP="0028559D">
      <w:pPr>
        <w:spacing w:after="0" w:line="276" w:lineRule="auto"/>
        <w:rPr>
          <w:rFonts w:ascii="Times New Roman" w:eastAsia="Times New Roman" w:hAnsi="Times New Roman" w:cs="Times New Roman"/>
          <w:i/>
          <w:iCs/>
          <w:color w:val="345A8A"/>
          <w:sz w:val="28"/>
          <w:szCs w:val="28"/>
          <w:lang w:eastAsia="en-CA"/>
        </w:rPr>
      </w:pPr>
      <w:r>
        <w:rPr>
          <w:rFonts w:ascii="Arial" w:eastAsia="Times New Roman" w:hAnsi="Arial" w:cs="Arial"/>
          <w:b/>
          <w:bCs/>
          <w:i/>
          <w:iCs/>
          <w:color w:val="345A8A"/>
          <w:sz w:val="28"/>
          <w:szCs w:val="28"/>
          <w:lang w:eastAsia="en-CA"/>
        </w:rPr>
        <w:t>Implications on Marginalized Communities</w:t>
      </w:r>
    </w:p>
    <w:p w14:paraId="3A8DB3CF" w14:textId="77777777" w:rsidR="00183DA4" w:rsidRPr="00183DA4" w:rsidRDefault="00183DA4" w:rsidP="003E384A">
      <w:pPr>
        <w:spacing w:after="0" w:line="276" w:lineRule="auto"/>
        <w:ind w:firstLine="720"/>
        <w:jc w:val="both"/>
        <w:rPr>
          <w:rFonts w:ascii="Arial" w:eastAsia="Times New Roman" w:hAnsi="Arial" w:cs="Arial"/>
          <w:color w:val="000000"/>
          <w:lang w:eastAsia="en-CA"/>
        </w:rPr>
      </w:pPr>
      <w:r w:rsidRPr="00183DA4">
        <w:rPr>
          <w:rFonts w:ascii="Arial" w:eastAsia="Times New Roman" w:hAnsi="Arial" w:cs="Arial"/>
          <w:color w:val="000000"/>
          <w:lang w:eastAsia="en-CA"/>
        </w:rPr>
        <w:t xml:space="preserve">Both historical and present-day systems of inequity have left people of color exposed to far greater environmental health hazards – the utility-related wildfires in California are no exception. The racial wealth gap in the United States serves as a considerable obstacle to access the necessary financial resources to build resiliency in the face of a wildfire. </w:t>
      </w:r>
    </w:p>
    <w:p w14:paraId="5A5F412A" w14:textId="5F3513DC" w:rsidR="00183DA4" w:rsidRPr="00183DA4" w:rsidRDefault="00183DA4" w:rsidP="003E384A">
      <w:pPr>
        <w:spacing w:after="0" w:line="276" w:lineRule="auto"/>
        <w:ind w:firstLine="720"/>
        <w:jc w:val="both"/>
        <w:rPr>
          <w:rFonts w:ascii="Arial" w:eastAsia="Times New Roman" w:hAnsi="Arial" w:cs="Arial"/>
          <w:color w:val="000000"/>
          <w:lang w:eastAsia="en-CA"/>
        </w:rPr>
      </w:pPr>
      <w:r w:rsidRPr="00183DA4">
        <w:rPr>
          <w:rFonts w:ascii="Arial" w:eastAsia="Times New Roman" w:hAnsi="Arial" w:cs="Arial"/>
          <w:color w:val="000000"/>
          <w:lang w:eastAsia="en-CA"/>
        </w:rPr>
        <w:t>In a study conducted in 2018, it was found that racialized communities – specifically Black, Hispanic, and Indigenous communities – are about 50 percent more vulnerable to wildfires compared to others.</w:t>
      </w:r>
      <w:r w:rsidR="0028559D">
        <w:rPr>
          <w:rStyle w:val="EndnoteReference"/>
          <w:rFonts w:ascii="Arial" w:eastAsia="Times New Roman" w:hAnsi="Arial" w:cs="Arial"/>
          <w:color w:val="000000"/>
          <w:lang w:eastAsia="en-CA"/>
        </w:rPr>
        <w:endnoteReference w:id="44"/>
      </w:r>
      <w:r w:rsidR="0028559D">
        <w:rPr>
          <w:rFonts w:ascii="Arial" w:eastAsia="Times New Roman" w:hAnsi="Arial" w:cs="Arial"/>
          <w:color w:val="000000"/>
          <w:lang w:eastAsia="en-CA"/>
        </w:rPr>
        <w:t xml:space="preserve"> </w:t>
      </w:r>
      <w:r w:rsidRPr="00183DA4">
        <w:rPr>
          <w:rFonts w:ascii="Arial" w:eastAsia="Times New Roman" w:hAnsi="Arial" w:cs="Arial"/>
          <w:color w:val="000000"/>
          <w:lang w:eastAsia="en-CA"/>
        </w:rPr>
        <w:t>The three racial groups are overrepresented among the 12 million socially vulnerable Americans for whom a wildfire event could be devastating.</w:t>
      </w:r>
      <w:r w:rsidR="0028559D">
        <w:rPr>
          <w:rStyle w:val="EndnoteReference"/>
          <w:rFonts w:ascii="Arial" w:eastAsia="Times New Roman" w:hAnsi="Arial" w:cs="Arial"/>
          <w:color w:val="000000"/>
          <w:lang w:eastAsia="en-CA"/>
        </w:rPr>
        <w:endnoteReference w:id="45"/>
      </w:r>
      <w:r w:rsidR="0028559D">
        <w:rPr>
          <w:rFonts w:ascii="Arial" w:eastAsia="Times New Roman" w:hAnsi="Arial" w:cs="Arial"/>
          <w:color w:val="000000"/>
          <w:lang w:eastAsia="en-CA"/>
        </w:rPr>
        <w:t xml:space="preserve"> </w:t>
      </w:r>
      <w:r w:rsidRPr="00183DA4">
        <w:rPr>
          <w:rFonts w:ascii="Arial" w:eastAsia="Times New Roman" w:hAnsi="Arial" w:cs="Arial"/>
          <w:color w:val="000000"/>
          <w:lang w:eastAsia="en-CA"/>
        </w:rPr>
        <w:t>With specific regards to Indigenous populations, forced relocation onto federal reserves – mostly rural, remote areas that are more prone to wildfires – paired with greater levels of vulnerability due to socioeconomic barriers magnifies the challenges of recovery post-fire.</w:t>
      </w:r>
      <w:r w:rsidR="0028559D">
        <w:rPr>
          <w:rStyle w:val="EndnoteReference"/>
          <w:rFonts w:ascii="Arial" w:eastAsia="Times New Roman" w:hAnsi="Arial" w:cs="Arial"/>
          <w:color w:val="000000"/>
          <w:lang w:eastAsia="en-CA"/>
        </w:rPr>
        <w:endnoteReference w:id="46"/>
      </w:r>
      <w:r w:rsidRPr="00183DA4">
        <w:rPr>
          <w:rFonts w:ascii="Arial" w:eastAsia="Times New Roman" w:hAnsi="Arial" w:cs="Arial"/>
          <w:color w:val="000000"/>
          <w:lang w:eastAsia="en-CA"/>
        </w:rPr>
        <w:t xml:space="preserve"> </w:t>
      </w:r>
    </w:p>
    <w:p w14:paraId="01D5BBDB" w14:textId="79770A43" w:rsidR="00773940" w:rsidRDefault="00183DA4" w:rsidP="003E384A">
      <w:pPr>
        <w:spacing w:after="0" w:line="276" w:lineRule="auto"/>
        <w:ind w:firstLine="720"/>
        <w:jc w:val="both"/>
        <w:rPr>
          <w:rFonts w:ascii="Times New Roman" w:eastAsia="Times New Roman" w:hAnsi="Times New Roman" w:cs="Times New Roman"/>
          <w:sz w:val="24"/>
          <w:szCs w:val="24"/>
          <w:lang w:eastAsia="en-CA"/>
        </w:rPr>
      </w:pPr>
      <w:r w:rsidRPr="00183DA4">
        <w:rPr>
          <w:rFonts w:ascii="Arial" w:eastAsia="Times New Roman" w:hAnsi="Arial" w:cs="Arial"/>
          <w:color w:val="000000"/>
          <w:lang w:eastAsia="en-CA"/>
        </w:rPr>
        <w:t>Further, although measures have been taken by PG&amp;E to mitigate the risk of wildfires, the new mitigation strategies continue to impose disproportionate risk on vulnerable communities. The company’s Public Safety Power Shut-Offs, otherwise known as PSPS events, involves shutting off power in high fire-risk areas during dry, windy weather.</w:t>
      </w:r>
      <w:r w:rsidR="0028559D">
        <w:rPr>
          <w:rStyle w:val="EndnoteReference"/>
          <w:rFonts w:ascii="Arial" w:eastAsia="Times New Roman" w:hAnsi="Arial" w:cs="Arial"/>
          <w:color w:val="000000"/>
          <w:lang w:eastAsia="en-CA"/>
        </w:rPr>
        <w:endnoteReference w:id="47"/>
      </w:r>
      <w:r w:rsidR="0028559D">
        <w:rPr>
          <w:rFonts w:ascii="Arial" w:eastAsia="Times New Roman" w:hAnsi="Arial" w:cs="Arial"/>
          <w:color w:val="000000"/>
          <w:lang w:eastAsia="en-CA"/>
        </w:rPr>
        <w:t xml:space="preserve"> </w:t>
      </w:r>
      <w:r w:rsidRPr="00183DA4">
        <w:rPr>
          <w:rFonts w:ascii="Arial" w:eastAsia="Times New Roman" w:hAnsi="Arial" w:cs="Arial"/>
          <w:color w:val="000000"/>
          <w:lang w:eastAsia="en-CA"/>
        </w:rPr>
        <w:t>In 2019, the PSPS events left almost a million customers in the dark for seven days.</w:t>
      </w:r>
      <w:r w:rsidR="0028559D">
        <w:rPr>
          <w:rStyle w:val="EndnoteReference"/>
          <w:rFonts w:ascii="Arial" w:eastAsia="Times New Roman" w:hAnsi="Arial" w:cs="Arial"/>
          <w:color w:val="000000"/>
          <w:lang w:eastAsia="en-CA"/>
        </w:rPr>
        <w:endnoteReference w:id="48"/>
      </w:r>
      <w:r w:rsidRPr="00183DA4">
        <w:rPr>
          <w:rFonts w:ascii="Arial" w:eastAsia="Times New Roman" w:hAnsi="Arial" w:cs="Arial"/>
          <w:color w:val="000000"/>
          <w:lang w:eastAsia="en-CA"/>
        </w:rPr>
        <w:t xml:space="preserve"> Power shutoffs have immense impacts on California’s vulnerable communities. Those that do not have the means to relocate or support an external power </w:t>
      </w:r>
      <w:r w:rsidRPr="00183DA4">
        <w:rPr>
          <w:rFonts w:ascii="Arial" w:eastAsia="Times New Roman" w:hAnsi="Arial" w:cs="Arial"/>
          <w:color w:val="000000"/>
          <w:lang w:eastAsia="en-CA"/>
        </w:rPr>
        <w:lastRenderedPageBreak/>
        <w:t>generator exhibit high levels of job, food, and health insecurity during sustained periods without power, thereby exacerbating their positions of vulnerability.</w:t>
      </w:r>
      <w:r w:rsidR="0028559D">
        <w:rPr>
          <w:rStyle w:val="EndnoteReference"/>
          <w:rFonts w:ascii="Arial" w:eastAsia="Times New Roman" w:hAnsi="Arial" w:cs="Arial"/>
          <w:color w:val="000000"/>
          <w:lang w:eastAsia="en-CA"/>
        </w:rPr>
        <w:endnoteReference w:id="49"/>
      </w:r>
      <w:r w:rsidRPr="00183DA4">
        <w:rPr>
          <w:rFonts w:ascii="Arial" w:eastAsia="Times New Roman" w:hAnsi="Arial" w:cs="Arial"/>
          <w:color w:val="000000"/>
          <w:lang w:eastAsia="en-CA"/>
        </w:rPr>
        <w:t xml:space="preserve">  </w:t>
      </w:r>
    </w:p>
    <w:p w14:paraId="7381E52C" w14:textId="76A99078" w:rsidR="003E384A" w:rsidRDefault="003E384A" w:rsidP="003E384A">
      <w:pPr>
        <w:spacing w:after="0" w:line="276" w:lineRule="auto"/>
        <w:jc w:val="both"/>
        <w:rPr>
          <w:rFonts w:ascii="Times New Roman" w:eastAsia="Times New Roman" w:hAnsi="Times New Roman" w:cs="Times New Roman"/>
          <w:sz w:val="24"/>
          <w:szCs w:val="24"/>
          <w:lang w:bidi="he-IL"/>
        </w:rPr>
      </w:pPr>
    </w:p>
    <w:p w14:paraId="7E395B72" w14:textId="3BFE857D" w:rsidR="00183DA4" w:rsidRPr="004A45BE" w:rsidRDefault="004A45BE" w:rsidP="003E384A">
      <w:pPr>
        <w:spacing w:after="0" w:line="276" w:lineRule="auto"/>
        <w:jc w:val="both"/>
        <w:rPr>
          <w:rFonts w:ascii="Times New Roman" w:eastAsia="Times New Roman" w:hAnsi="Times New Roman" w:cs="Times New Roman"/>
          <w:sz w:val="24"/>
          <w:szCs w:val="24"/>
          <w:lang w:bidi="he-IL"/>
        </w:rPr>
      </w:pPr>
      <w:r w:rsidRPr="004A45BE">
        <w:rPr>
          <w:rFonts w:ascii="Times New Roman" w:eastAsia="Times New Roman" w:hAnsi="Times New Roman" w:cs="Times New Roman"/>
          <w:sz w:val="24"/>
          <w:szCs w:val="24"/>
          <w:lang w:bidi="he-IL"/>
        </w:rPr>
        <w:fldChar w:fldCharType="begin"/>
      </w:r>
      <w:r w:rsidRPr="004A45BE">
        <w:rPr>
          <w:rFonts w:ascii="Times New Roman" w:eastAsia="Times New Roman" w:hAnsi="Times New Roman" w:cs="Times New Roman"/>
          <w:sz w:val="24"/>
          <w:szCs w:val="24"/>
          <w:lang w:bidi="he-IL"/>
        </w:rPr>
        <w:instrText xml:space="preserve"> INCLUDEPICTURE "https://storage.googleapis.com/proudcity/sonomaca/uploads/2021/05/CWSP_Town-Hall-Facebook-Post_All-Customer_20210521-002.jpg" \* MERGEFORMATINET </w:instrText>
      </w:r>
      <w:r w:rsidR="00000000">
        <w:rPr>
          <w:rFonts w:ascii="Times New Roman" w:eastAsia="Times New Roman" w:hAnsi="Times New Roman" w:cs="Times New Roman"/>
          <w:sz w:val="24"/>
          <w:szCs w:val="24"/>
          <w:lang w:bidi="he-IL"/>
        </w:rPr>
        <w:fldChar w:fldCharType="separate"/>
      </w:r>
      <w:r w:rsidRPr="004A45BE">
        <w:rPr>
          <w:rFonts w:ascii="Times New Roman" w:eastAsia="Times New Roman" w:hAnsi="Times New Roman" w:cs="Times New Roman"/>
          <w:sz w:val="24"/>
          <w:szCs w:val="24"/>
          <w:lang w:bidi="he-IL"/>
        </w:rPr>
        <w:fldChar w:fldCharType="end"/>
      </w:r>
      <w:r w:rsidR="00183DA4">
        <w:rPr>
          <w:rFonts w:ascii="Arial" w:eastAsia="Times New Roman" w:hAnsi="Arial" w:cs="Arial"/>
          <w:b/>
          <w:bCs/>
          <w:sz w:val="28"/>
          <w:szCs w:val="28"/>
          <w:lang w:eastAsia="en-CA"/>
        </w:rPr>
        <w:t>Mitigations</w:t>
      </w:r>
    </w:p>
    <w:p w14:paraId="0CDCE0E4" w14:textId="3F9A4978" w:rsidR="00183DA4" w:rsidRPr="00183DA4" w:rsidRDefault="00183DA4" w:rsidP="003E384A">
      <w:pPr>
        <w:spacing w:after="0" w:line="276" w:lineRule="auto"/>
        <w:ind w:firstLine="720"/>
        <w:jc w:val="both"/>
        <w:rPr>
          <w:rFonts w:ascii="Arial" w:eastAsia="Times New Roman" w:hAnsi="Arial" w:cs="Arial"/>
          <w:color w:val="000000"/>
          <w:lang w:eastAsia="en-CA"/>
        </w:rPr>
      </w:pPr>
      <w:r w:rsidRPr="00183DA4">
        <w:rPr>
          <w:rFonts w:ascii="Arial" w:eastAsia="Times New Roman" w:hAnsi="Arial" w:cs="Arial"/>
          <w:color w:val="000000"/>
          <w:lang w:eastAsia="en-CA"/>
        </w:rPr>
        <w:t xml:space="preserve">A 2015 report published in the </w:t>
      </w:r>
      <w:r w:rsidRPr="0028559D">
        <w:rPr>
          <w:rFonts w:ascii="Arial" w:eastAsia="Times New Roman" w:hAnsi="Arial" w:cs="Arial"/>
          <w:i/>
          <w:iCs/>
          <w:color w:val="000000"/>
          <w:lang w:eastAsia="en-CA"/>
        </w:rPr>
        <w:t>Frontiers in Psychology</w:t>
      </w:r>
      <w:r w:rsidRPr="00183DA4">
        <w:rPr>
          <w:rFonts w:ascii="Arial" w:eastAsia="Times New Roman" w:hAnsi="Arial" w:cs="Arial"/>
          <w:color w:val="000000"/>
          <w:lang w:eastAsia="en-CA"/>
        </w:rPr>
        <w:t xml:space="preserve"> journal on </w:t>
      </w:r>
      <w:r w:rsidRPr="0028559D">
        <w:rPr>
          <w:rFonts w:ascii="Arial" w:eastAsia="Times New Roman" w:hAnsi="Arial" w:cs="Arial"/>
          <w:i/>
          <w:iCs/>
          <w:color w:val="000000"/>
          <w:lang w:eastAsia="en-CA"/>
        </w:rPr>
        <w:t>Understanding the human dimensions of a sustainable energy transition</w:t>
      </w:r>
      <w:r w:rsidRPr="00183DA4">
        <w:rPr>
          <w:rFonts w:ascii="Arial" w:eastAsia="Times New Roman" w:hAnsi="Arial" w:cs="Arial"/>
          <w:color w:val="000000"/>
          <w:lang w:eastAsia="en-CA"/>
        </w:rPr>
        <w:t xml:space="preserve"> lists several factors which contribute to the acceptability of energy policies and energy systems.</w:t>
      </w:r>
      <w:r w:rsidR="0028559D">
        <w:rPr>
          <w:rStyle w:val="EndnoteReference"/>
          <w:rFonts w:ascii="Arial" w:eastAsia="Times New Roman" w:hAnsi="Arial" w:cs="Arial"/>
          <w:color w:val="000000"/>
          <w:lang w:eastAsia="en-CA"/>
        </w:rPr>
        <w:endnoteReference w:id="50"/>
      </w:r>
      <w:r w:rsidRPr="00183DA4">
        <w:rPr>
          <w:rFonts w:ascii="Arial" w:eastAsia="Times New Roman" w:hAnsi="Arial" w:cs="Arial"/>
          <w:color w:val="000000"/>
          <w:lang w:eastAsia="en-CA"/>
        </w:rPr>
        <w:t xml:space="preserve"> Said factors prove relevant as the widespread disapproval of PG&amp;E activity and its investor-owned model affect the way in which policies that influence their energy provision and PG&amp;E services are accepted by the public.</w:t>
      </w:r>
    </w:p>
    <w:p w14:paraId="38EDBE62" w14:textId="02AB040F" w:rsidR="00183DA4" w:rsidRPr="00183DA4" w:rsidRDefault="00183DA4" w:rsidP="003E384A">
      <w:pPr>
        <w:spacing w:after="0" w:line="276" w:lineRule="auto"/>
        <w:ind w:firstLine="720"/>
        <w:jc w:val="both"/>
        <w:rPr>
          <w:rFonts w:ascii="Arial" w:eastAsia="Times New Roman" w:hAnsi="Arial" w:cs="Arial"/>
          <w:color w:val="000000"/>
          <w:lang w:eastAsia="en-CA"/>
        </w:rPr>
      </w:pPr>
      <w:r w:rsidRPr="00183DA4">
        <w:rPr>
          <w:rFonts w:ascii="Arial" w:eastAsia="Times New Roman" w:hAnsi="Arial" w:cs="Arial"/>
          <w:color w:val="000000"/>
          <w:lang w:eastAsia="en-CA"/>
        </w:rPr>
        <w:t>In alignment with the 2015 report, PG&amp;E is first advised to employ a more collaborative approach with local communities in California and surrounding regions prior to embarking on new ventures.</w:t>
      </w:r>
      <w:r w:rsidR="0028559D">
        <w:rPr>
          <w:rStyle w:val="EndnoteReference"/>
          <w:rFonts w:ascii="Arial" w:eastAsia="Times New Roman" w:hAnsi="Arial" w:cs="Arial"/>
          <w:color w:val="000000"/>
          <w:lang w:eastAsia="en-CA"/>
        </w:rPr>
        <w:endnoteReference w:id="51"/>
      </w:r>
      <w:r w:rsidR="0028559D">
        <w:rPr>
          <w:rFonts w:ascii="Arial" w:eastAsia="Times New Roman" w:hAnsi="Arial" w:cs="Arial"/>
          <w:color w:val="000000"/>
          <w:lang w:eastAsia="en-CA"/>
        </w:rPr>
        <w:t xml:space="preserve"> </w:t>
      </w:r>
      <w:r w:rsidRPr="00183DA4">
        <w:rPr>
          <w:rFonts w:ascii="Arial" w:eastAsia="Times New Roman" w:hAnsi="Arial" w:cs="Arial"/>
          <w:color w:val="000000"/>
          <w:lang w:eastAsia="en-CA"/>
        </w:rPr>
        <w:t>The engagement process should be twofold as PG&amp;E is advised to first provide complete transparency regarding proposed developments, the associated risks to users, and subsequent mitigation strategies.</w:t>
      </w:r>
      <w:r w:rsidR="0028559D">
        <w:rPr>
          <w:rStyle w:val="EndnoteReference"/>
          <w:rFonts w:ascii="Arial" w:eastAsia="Times New Roman" w:hAnsi="Arial" w:cs="Arial"/>
          <w:color w:val="000000"/>
          <w:lang w:eastAsia="en-CA"/>
        </w:rPr>
        <w:endnoteReference w:id="52"/>
      </w:r>
      <w:r w:rsidR="0028559D">
        <w:rPr>
          <w:rFonts w:ascii="Arial" w:eastAsia="Times New Roman" w:hAnsi="Arial" w:cs="Arial"/>
          <w:color w:val="000000"/>
          <w:lang w:eastAsia="en-CA"/>
        </w:rPr>
        <w:t xml:space="preserve"> </w:t>
      </w:r>
      <w:r w:rsidRPr="00183DA4">
        <w:rPr>
          <w:rFonts w:ascii="Arial" w:eastAsia="Times New Roman" w:hAnsi="Arial" w:cs="Arial"/>
          <w:color w:val="000000"/>
          <w:lang w:eastAsia="en-CA"/>
        </w:rPr>
        <w:t xml:space="preserve">Secondly, it is recommended that PG&amp;E consistently collects related feedback or outstanding concerns from community members to whom the developments would affect. Pacific Gas and Electric is encouraged to institute an engagement process like the one stated above regarding existing services and utility developments as well. This process allows for community members to feel actively involved and valued by PG&amp;E, increasing the likelihood to which energy policies favoring PG&amp;E and energy systems developed by the company are initially accepted. </w:t>
      </w:r>
    </w:p>
    <w:p w14:paraId="01EF300D" w14:textId="5B8CE5EB" w:rsidR="00183DA4" w:rsidRPr="00183DA4" w:rsidRDefault="00183DA4" w:rsidP="003E384A">
      <w:pPr>
        <w:spacing w:after="0" w:line="276" w:lineRule="auto"/>
        <w:ind w:firstLine="720"/>
        <w:jc w:val="both"/>
        <w:rPr>
          <w:rFonts w:ascii="Arial" w:eastAsia="Times New Roman" w:hAnsi="Arial" w:cs="Arial"/>
          <w:color w:val="000000"/>
          <w:lang w:eastAsia="en-CA"/>
        </w:rPr>
      </w:pPr>
      <w:r w:rsidRPr="00183DA4">
        <w:rPr>
          <w:rFonts w:ascii="Arial" w:eastAsia="Times New Roman" w:hAnsi="Arial" w:cs="Arial"/>
          <w:color w:val="000000"/>
          <w:lang w:eastAsia="en-CA"/>
        </w:rPr>
        <w:t>It remains integral that PG&amp;E organizes engagement processes around company activity that can be altered to reflect community needs, rather than PG&amp;E facilitate “fake” engagement as it results in company distrust and ultimately, less public support.</w:t>
      </w:r>
      <w:r w:rsidR="0028559D">
        <w:rPr>
          <w:rStyle w:val="EndnoteReference"/>
          <w:rFonts w:ascii="Arial" w:eastAsia="Times New Roman" w:hAnsi="Arial" w:cs="Arial"/>
          <w:color w:val="000000"/>
          <w:lang w:eastAsia="en-CA"/>
        </w:rPr>
        <w:endnoteReference w:id="53"/>
      </w:r>
      <w:r w:rsidRPr="00183DA4">
        <w:rPr>
          <w:rFonts w:ascii="Arial" w:eastAsia="Times New Roman" w:hAnsi="Arial" w:cs="Arial"/>
          <w:color w:val="000000"/>
          <w:lang w:eastAsia="en-CA"/>
        </w:rPr>
        <w:t xml:space="preserve"> </w:t>
      </w:r>
    </w:p>
    <w:p w14:paraId="047BB468" w14:textId="5C39B0E4" w:rsidR="00183DA4" w:rsidRPr="00183DA4" w:rsidRDefault="00183DA4" w:rsidP="003E384A">
      <w:pPr>
        <w:spacing w:after="0" w:line="276" w:lineRule="auto"/>
        <w:ind w:firstLine="720"/>
        <w:jc w:val="both"/>
        <w:rPr>
          <w:rFonts w:ascii="Arial" w:eastAsia="Times New Roman" w:hAnsi="Arial" w:cs="Arial"/>
          <w:color w:val="000000"/>
          <w:lang w:eastAsia="en-CA"/>
        </w:rPr>
      </w:pPr>
      <w:r w:rsidRPr="00183DA4">
        <w:rPr>
          <w:rFonts w:ascii="Arial" w:eastAsia="Times New Roman" w:hAnsi="Arial" w:cs="Arial"/>
          <w:color w:val="000000"/>
          <w:lang w:eastAsia="en-CA"/>
        </w:rPr>
        <w:t>Secondly, PG&amp;E is advised to act beyond the initial community-engagement process, and gradually work towards instituting amendments to their developments that reflect considerations expressed from users and local community members. A displayed commitment to this conscious process prompts public approval of energy policies favouring PG&amp;E and energy systems developed by the company as such changes reflect their concerns and values.</w:t>
      </w:r>
      <w:r w:rsidR="0028559D">
        <w:rPr>
          <w:rStyle w:val="EndnoteReference"/>
          <w:rFonts w:ascii="Arial" w:eastAsia="Times New Roman" w:hAnsi="Arial" w:cs="Arial"/>
          <w:color w:val="000000"/>
          <w:lang w:eastAsia="en-CA"/>
        </w:rPr>
        <w:endnoteReference w:id="54"/>
      </w:r>
      <w:r w:rsidRPr="00183DA4">
        <w:rPr>
          <w:rFonts w:ascii="Arial" w:eastAsia="Times New Roman" w:hAnsi="Arial" w:cs="Arial"/>
          <w:color w:val="000000"/>
          <w:lang w:eastAsia="en-CA"/>
        </w:rPr>
        <w:t xml:space="preserve"> Moreover, acting on </w:t>
      </w:r>
      <w:r w:rsidRPr="00183DA4">
        <w:rPr>
          <w:rFonts w:ascii="Arial" w:eastAsia="Times New Roman" w:hAnsi="Arial" w:cs="Arial"/>
          <w:color w:val="000000"/>
          <w:lang w:eastAsia="en-CA"/>
        </w:rPr>
        <w:t>concerns expressed by communities particularly vulnerable to PG&amp;E activity promotes company-credibility as at-risk communities are not left to bear the brunt of the sustainable energy transition.</w:t>
      </w:r>
      <w:r w:rsidR="0028559D">
        <w:rPr>
          <w:rStyle w:val="EndnoteReference"/>
          <w:rFonts w:ascii="Arial" w:eastAsia="Times New Roman" w:hAnsi="Arial" w:cs="Arial"/>
          <w:color w:val="000000"/>
          <w:lang w:eastAsia="en-CA"/>
        </w:rPr>
        <w:endnoteReference w:id="55"/>
      </w:r>
      <w:r w:rsidRPr="00183DA4">
        <w:rPr>
          <w:rFonts w:ascii="Arial" w:eastAsia="Times New Roman" w:hAnsi="Arial" w:cs="Arial"/>
          <w:color w:val="000000"/>
          <w:lang w:eastAsia="en-CA"/>
        </w:rPr>
        <w:t xml:space="preserve"> </w:t>
      </w:r>
    </w:p>
    <w:p w14:paraId="4E25F867" w14:textId="325CD0DF" w:rsidR="00183DA4" w:rsidRPr="00183DA4" w:rsidRDefault="00183DA4" w:rsidP="003E384A">
      <w:pPr>
        <w:spacing w:after="0" w:line="276" w:lineRule="auto"/>
        <w:ind w:firstLine="720"/>
        <w:jc w:val="both"/>
        <w:rPr>
          <w:rFonts w:ascii="Arial" w:eastAsia="Times New Roman" w:hAnsi="Arial" w:cs="Arial"/>
          <w:color w:val="000000"/>
          <w:lang w:eastAsia="en-CA"/>
        </w:rPr>
      </w:pPr>
      <w:r w:rsidRPr="00183DA4">
        <w:rPr>
          <w:rFonts w:ascii="Arial" w:eastAsia="Times New Roman" w:hAnsi="Arial" w:cs="Arial"/>
          <w:color w:val="000000"/>
          <w:lang w:eastAsia="en-CA"/>
        </w:rPr>
        <w:t>The shift to integrating local community concerns into the blueprints of PG&amp;E developments can especially aid in transforming the growing sentiment of distaste for investor-owned-utility models as well as Wall Street. While this shift must be accompanied by adjustments to the profit margins of PG&amp;E investors, such transitions exhibit PG&amp;E attempting to prioritize the lives and well-being of consumers over profits. With consistent demonstration of PG&amp;E attempting to consistently re-invest in their utility service, unfavorable attitudes towards investor-owned utilities and Wall Street have the potential to subside.</w:t>
      </w:r>
    </w:p>
    <w:p w14:paraId="160C10C5" w14:textId="10CD5D37" w:rsidR="00183DA4" w:rsidRPr="00183DA4" w:rsidRDefault="00183DA4" w:rsidP="003E384A">
      <w:pPr>
        <w:spacing w:after="0" w:line="276" w:lineRule="auto"/>
        <w:ind w:firstLine="720"/>
        <w:jc w:val="both"/>
        <w:rPr>
          <w:rFonts w:ascii="Arial" w:eastAsia="Times New Roman" w:hAnsi="Arial" w:cs="Arial"/>
          <w:color w:val="000000"/>
          <w:lang w:eastAsia="en-CA"/>
        </w:rPr>
      </w:pPr>
      <w:r w:rsidRPr="00183DA4">
        <w:rPr>
          <w:rFonts w:ascii="Arial" w:eastAsia="Times New Roman" w:hAnsi="Arial" w:cs="Arial"/>
          <w:color w:val="000000"/>
          <w:lang w:eastAsia="en-CA"/>
        </w:rPr>
        <w:t>Moreover, PG&amp;E’s renewed effort to rehabilitate their community relations can enable populations to wholly recognize the benefits of the utility’s energy storage component. Regarding economic benefits, energy storage technologies have the potential to offset various costs pertaining to the “generation, transmission, and distribution infrastructure.”</w:t>
      </w:r>
      <w:r w:rsidR="0028559D">
        <w:rPr>
          <w:rStyle w:val="EndnoteReference"/>
          <w:rFonts w:ascii="Arial" w:eastAsia="Times New Roman" w:hAnsi="Arial" w:cs="Arial"/>
          <w:color w:val="000000"/>
          <w:lang w:eastAsia="en-CA"/>
        </w:rPr>
        <w:endnoteReference w:id="56"/>
      </w:r>
      <w:r w:rsidR="0028559D">
        <w:rPr>
          <w:rFonts w:ascii="Arial" w:eastAsia="Times New Roman" w:hAnsi="Arial" w:cs="Arial"/>
          <w:color w:val="000000"/>
          <w:lang w:eastAsia="en-CA"/>
        </w:rPr>
        <w:t xml:space="preserve"> </w:t>
      </w:r>
      <w:r w:rsidRPr="00183DA4">
        <w:rPr>
          <w:rFonts w:ascii="Arial" w:eastAsia="Times New Roman" w:hAnsi="Arial" w:cs="Arial"/>
          <w:color w:val="000000"/>
          <w:lang w:eastAsia="en-CA"/>
        </w:rPr>
        <w:t>An effort on behalf of PG&amp;E to reduce costs to consumers considering the saved operation costs can aid in enhancing PG&amp;E’s perception alongside the role ES technologies can play in producing economic benefits. Nevertheless, ES technologies “could also significantly reduce the requirement for investment in low-carbon generation capacity while achieving the established carbon intensity targets.”</w:t>
      </w:r>
      <w:r w:rsidR="004E343B">
        <w:rPr>
          <w:rStyle w:val="EndnoteReference"/>
          <w:rFonts w:ascii="Arial" w:eastAsia="Times New Roman" w:hAnsi="Arial" w:cs="Arial"/>
          <w:color w:val="000000"/>
          <w:lang w:eastAsia="en-CA"/>
        </w:rPr>
        <w:endnoteReference w:id="57"/>
      </w:r>
      <w:r w:rsidR="004E343B">
        <w:rPr>
          <w:rFonts w:ascii="Arial" w:eastAsia="Times New Roman" w:hAnsi="Arial" w:cs="Arial"/>
          <w:color w:val="000000"/>
          <w:lang w:eastAsia="en-CA"/>
        </w:rPr>
        <w:t xml:space="preserve"> </w:t>
      </w:r>
      <w:r w:rsidRPr="00183DA4">
        <w:rPr>
          <w:rFonts w:ascii="Arial" w:eastAsia="Times New Roman" w:hAnsi="Arial" w:cs="Arial"/>
          <w:color w:val="000000"/>
          <w:lang w:eastAsia="en-CA"/>
        </w:rPr>
        <w:t>Evidently, ES technologies are relevant in contributing to environmental conservation efforts, providing the potential for PG&amp;E to stand at the forefront of this transition. Finally, ES technologies produce less carbon dioxide emissions due to the increased amount of clean energy emitted.</w:t>
      </w:r>
      <w:r w:rsidR="004E343B">
        <w:rPr>
          <w:rStyle w:val="EndnoteReference"/>
          <w:rFonts w:ascii="Arial" w:eastAsia="Times New Roman" w:hAnsi="Arial" w:cs="Arial"/>
          <w:color w:val="000000"/>
          <w:lang w:eastAsia="en-CA"/>
        </w:rPr>
        <w:endnoteReference w:id="58"/>
      </w:r>
      <w:r w:rsidRPr="00183DA4">
        <w:rPr>
          <w:rFonts w:ascii="Arial" w:eastAsia="Times New Roman" w:hAnsi="Arial" w:cs="Arial"/>
          <w:color w:val="000000"/>
          <w:lang w:eastAsia="en-CA"/>
        </w:rPr>
        <w:t xml:space="preserve">  Once PG&amp;E make amendments to ensure the greater safety of their equipment, the long-term environmental benefits produced from the storage facility will gauge greater </w:t>
      </w:r>
      <w:proofErr w:type="spellStart"/>
      <w:r w:rsidRPr="00183DA4">
        <w:rPr>
          <w:rFonts w:ascii="Arial" w:eastAsia="Times New Roman" w:hAnsi="Arial" w:cs="Arial"/>
          <w:color w:val="000000"/>
          <w:lang w:eastAsia="en-CA"/>
        </w:rPr>
        <w:t>favorability</w:t>
      </w:r>
      <w:proofErr w:type="spellEnd"/>
      <w:r w:rsidRPr="00183DA4">
        <w:rPr>
          <w:rFonts w:ascii="Arial" w:eastAsia="Times New Roman" w:hAnsi="Arial" w:cs="Arial"/>
          <w:color w:val="000000"/>
          <w:lang w:eastAsia="en-CA"/>
        </w:rPr>
        <w:t xml:space="preserve">- of the company, and energy storage overall. </w:t>
      </w:r>
    </w:p>
    <w:p w14:paraId="643DC703" w14:textId="6F1BD9A2" w:rsidR="00183DA4" w:rsidRPr="00183DA4" w:rsidRDefault="00183DA4" w:rsidP="003E384A">
      <w:pPr>
        <w:spacing w:after="0" w:line="276" w:lineRule="auto"/>
        <w:ind w:firstLine="720"/>
        <w:jc w:val="both"/>
        <w:rPr>
          <w:rFonts w:ascii="Arial" w:eastAsia="Times New Roman" w:hAnsi="Arial" w:cs="Arial"/>
          <w:color w:val="000000"/>
          <w:lang w:eastAsia="en-CA"/>
        </w:rPr>
      </w:pPr>
      <w:r w:rsidRPr="00183DA4">
        <w:rPr>
          <w:rFonts w:ascii="Arial" w:eastAsia="Times New Roman" w:hAnsi="Arial" w:cs="Arial"/>
          <w:color w:val="000000"/>
          <w:lang w:eastAsia="en-CA"/>
        </w:rPr>
        <w:t xml:space="preserve">Conclusively, the growing social dissatisfaction with PG&amp;E amidst California and surrounding regions requires immediate implementation of the mitigation strategies above. As noted, this consists of employing a collaborative approach by engaging with local communities, alongside gradually instituting such </w:t>
      </w:r>
      <w:r w:rsidRPr="00183DA4">
        <w:rPr>
          <w:rFonts w:ascii="Arial" w:eastAsia="Times New Roman" w:hAnsi="Arial" w:cs="Arial"/>
          <w:color w:val="000000"/>
          <w:lang w:eastAsia="en-CA"/>
        </w:rPr>
        <w:lastRenderedPageBreak/>
        <w:t xml:space="preserve">concerns in future developments to the utility, to ultimately gain greater credibility and </w:t>
      </w:r>
      <w:proofErr w:type="spellStart"/>
      <w:r w:rsidRPr="00183DA4">
        <w:rPr>
          <w:rFonts w:ascii="Arial" w:eastAsia="Times New Roman" w:hAnsi="Arial" w:cs="Arial"/>
          <w:color w:val="000000"/>
          <w:lang w:eastAsia="en-CA"/>
        </w:rPr>
        <w:t>favorability</w:t>
      </w:r>
      <w:proofErr w:type="spellEnd"/>
      <w:r w:rsidRPr="00183DA4">
        <w:rPr>
          <w:rFonts w:ascii="Arial" w:eastAsia="Times New Roman" w:hAnsi="Arial" w:cs="Arial"/>
          <w:color w:val="000000"/>
          <w:lang w:eastAsia="en-CA"/>
        </w:rPr>
        <w:t>. Additional requirements to be made include following through on promises made to not create further dissatisfaction among the public, alongside developing and presenting a plan to adequately compensate wildfire victims as their lack of payment has generated media attention, placing PG&amp;E in an antagonistic light.</w:t>
      </w:r>
    </w:p>
    <w:p w14:paraId="345BF5CA" w14:textId="04E4F46F" w:rsidR="00AD09DE" w:rsidRPr="00183DA4" w:rsidRDefault="00183DA4" w:rsidP="00AD09DE">
      <w:pPr>
        <w:spacing w:after="0" w:line="276" w:lineRule="auto"/>
        <w:ind w:firstLine="720"/>
        <w:jc w:val="both"/>
        <w:rPr>
          <w:rFonts w:ascii="Arial" w:eastAsia="Times New Roman" w:hAnsi="Arial" w:cs="Arial"/>
          <w:color w:val="000000"/>
          <w:lang w:eastAsia="en-CA"/>
        </w:rPr>
      </w:pPr>
      <w:r w:rsidRPr="00183DA4">
        <w:rPr>
          <w:rFonts w:ascii="Arial" w:eastAsia="Times New Roman" w:hAnsi="Arial" w:cs="Arial"/>
          <w:color w:val="000000"/>
          <w:lang w:eastAsia="en-CA"/>
        </w:rPr>
        <w:t>PG&amp;E’s 2021 Fire Mitigation Plan and their Better Together Resilient Communities Grant Program include several measures aimed at mitigating both the risk of wildfires as well as the residual long-term implications of the fire. The two strategies focus on infrastructure development, the implementation of new preventative technologies as well as investments into community resilience projects.</w:t>
      </w:r>
      <w:r w:rsidR="004E343B">
        <w:rPr>
          <w:rStyle w:val="EndnoteReference"/>
          <w:rFonts w:ascii="Arial" w:eastAsia="Times New Roman" w:hAnsi="Arial" w:cs="Arial"/>
          <w:color w:val="000000"/>
          <w:lang w:eastAsia="en-CA"/>
        </w:rPr>
        <w:endnoteReference w:id="59"/>
      </w:r>
      <w:r w:rsidR="00B741DD">
        <w:rPr>
          <w:rFonts w:ascii="Arial" w:eastAsia="Times New Roman" w:hAnsi="Arial" w:cs="Arial"/>
          <w:color w:val="000000"/>
          <w:lang w:eastAsia="en-CA"/>
        </w:rPr>
        <w:t xml:space="preserve"> </w:t>
      </w:r>
      <w:r w:rsidRPr="00183DA4">
        <w:rPr>
          <w:rFonts w:ascii="Arial" w:eastAsia="Times New Roman" w:hAnsi="Arial" w:cs="Arial"/>
          <w:color w:val="000000"/>
          <w:lang w:eastAsia="en-CA"/>
        </w:rPr>
        <w:t xml:space="preserve">However, the mitigation strategies both fail to explicitly address the needs of disadvantaged and vulnerable communities. </w:t>
      </w:r>
    </w:p>
    <w:p w14:paraId="0C47D02A" w14:textId="185DB9C4" w:rsidR="00183DA4" w:rsidRPr="00183DA4" w:rsidRDefault="00183DA4" w:rsidP="003E384A">
      <w:pPr>
        <w:spacing w:after="0" w:line="276" w:lineRule="auto"/>
        <w:ind w:firstLine="720"/>
        <w:jc w:val="both"/>
        <w:rPr>
          <w:rFonts w:ascii="Arial" w:eastAsia="Times New Roman" w:hAnsi="Arial" w:cs="Arial"/>
          <w:color w:val="000000"/>
          <w:lang w:eastAsia="en-CA"/>
        </w:rPr>
      </w:pPr>
      <w:r w:rsidRPr="00183DA4">
        <w:rPr>
          <w:rFonts w:ascii="Arial" w:eastAsia="Times New Roman" w:hAnsi="Arial" w:cs="Arial"/>
          <w:color w:val="000000"/>
          <w:lang w:eastAsia="en-CA"/>
        </w:rPr>
        <w:t>Permanent and consistent means of financing local, community-level recovery programs should be implemented and sustained to support populations vulnerable to wildfires. While wildfires significantly impact the land and its surrounding ecosystem, the social and economic implications on racialized minorities – and the ripple effects on the community – are critically important to address as well.</w:t>
      </w:r>
      <w:r w:rsidR="004E343B">
        <w:rPr>
          <w:rStyle w:val="EndnoteReference"/>
          <w:rFonts w:ascii="Arial" w:eastAsia="Times New Roman" w:hAnsi="Arial" w:cs="Arial"/>
          <w:color w:val="000000"/>
          <w:lang w:eastAsia="en-CA"/>
        </w:rPr>
        <w:endnoteReference w:id="60"/>
      </w:r>
      <w:r w:rsidR="004E343B">
        <w:rPr>
          <w:rFonts w:ascii="Arial" w:eastAsia="Times New Roman" w:hAnsi="Arial" w:cs="Arial"/>
          <w:color w:val="000000"/>
          <w:lang w:eastAsia="en-CA"/>
        </w:rPr>
        <w:t xml:space="preserve"> </w:t>
      </w:r>
      <w:r w:rsidRPr="00183DA4">
        <w:rPr>
          <w:rFonts w:ascii="Arial" w:eastAsia="Times New Roman" w:hAnsi="Arial" w:cs="Arial"/>
          <w:color w:val="000000"/>
          <w:lang w:eastAsia="en-CA"/>
        </w:rPr>
        <w:t xml:space="preserve">It is proposed that PG&amp;E expand its Resilient Communities Program to include a comprehensive support structure that provides families and communities, on a needs basis, with the resources necessary to sustain themselves during a power shutoff or to re-stabilize post-fire. This involves planning and outreach efforts to enhance the resilience of fire-prone communities of color. </w:t>
      </w:r>
    </w:p>
    <w:p w14:paraId="5D233E50" w14:textId="36369B13" w:rsidR="00C26955" w:rsidRDefault="00C26955" w:rsidP="007A2424">
      <w:pPr>
        <w:spacing w:after="240" w:line="240" w:lineRule="auto"/>
        <w:rPr>
          <w:rFonts w:ascii="Times New Roman" w:eastAsia="Times New Roman" w:hAnsi="Times New Roman" w:cs="Times New Roman"/>
          <w:sz w:val="24"/>
          <w:szCs w:val="24"/>
          <w:lang w:eastAsia="en-CA"/>
        </w:rPr>
        <w:sectPr w:rsidR="00C26955" w:rsidSect="0086062C">
          <w:endnotePr>
            <w:numFmt w:val="decimal"/>
          </w:endnotePr>
          <w:type w:val="continuous"/>
          <w:pgSz w:w="12240" w:h="15840"/>
          <w:pgMar w:top="567" w:right="567" w:bottom="845" w:left="567" w:header="709" w:footer="397" w:gutter="0"/>
          <w:cols w:num="2" w:space="397"/>
          <w:docGrid w:linePitch="360"/>
        </w:sectPr>
      </w:pPr>
    </w:p>
    <w:p w14:paraId="05A1FD54" w14:textId="652AF10B" w:rsidR="003C41B7" w:rsidRDefault="00AD09DE" w:rsidP="007A2424">
      <w:pPr>
        <w:spacing w:after="0" w:line="240" w:lineRule="auto"/>
        <w:rPr>
          <w:rFonts w:ascii="Arial" w:eastAsia="Times New Roman" w:hAnsi="Arial" w:cs="Arial"/>
          <w:color w:val="000000"/>
          <w:sz w:val="36"/>
          <w:szCs w:val="36"/>
          <w:lang w:eastAsia="en-CA"/>
        </w:rPr>
        <w:sectPr w:rsidR="003C41B7" w:rsidSect="007A2424">
          <w:endnotePr>
            <w:numFmt w:val="decimal"/>
          </w:endnotePr>
          <w:type w:val="continuous"/>
          <w:pgSz w:w="12240" w:h="15840"/>
          <w:pgMar w:top="567" w:right="567" w:bottom="845" w:left="567" w:header="709" w:footer="709" w:gutter="0"/>
          <w:cols w:space="397"/>
          <w:docGrid w:linePitch="360"/>
        </w:sectPr>
      </w:pPr>
      <w:r w:rsidRPr="003E384A">
        <w:rPr>
          <w:rFonts w:ascii="Times New Roman" w:eastAsia="Times New Roman" w:hAnsi="Times New Roman" w:cs="Times New Roman"/>
          <w:noProof/>
          <w:sz w:val="24"/>
          <w:szCs w:val="24"/>
          <w:lang w:bidi="he-IL"/>
        </w:rPr>
        <w:drawing>
          <wp:anchor distT="0" distB="0" distL="0" distR="0" simplePos="0" relativeHeight="251658250" behindDoc="0" locked="0" layoutInCell="1" allowOverlap="1" wp14:anchorId="641CB73C" wp14:editId="65D45576">
            <wp:simplePos x="0" y="0"/>
            <wp:positionH relativeFrom="column">
              <wp:posOffset>-22225</wp:posOffset>
            </wp:positionH>
            <wp:positionV relativeFrom="paragraph">
              <wp:posOffset>43815</wp:posOffset>
            </wp:positionV>
            <wp:extent cx="7052310" cy="1324610"/>
            <wp:effectExtent l="0" t="0" r="0" b="0"/>
            <wp:wrapSquare wrapText="bothSides"/>
            <wp:docPr id="11" name="Picture 11" descr="People Planet Prosperit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ople Planet Prosperity Grap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5231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97321" w14:textId="068A1876" w:rsidR="003C41B7" w:rsidRPr="00AD09DE" w:rsidRDefault="003E384A" w:rsidP="00AD09DE">
      <w:pPr>
        <w:spacing w:after="0" w:line="240" w:lineRule="auto"/>
        <w:rPr>
          <w:rFonts w:ascii="Times New Roman" w:eastAsia="Times New Roman" w:hAnsi="Times New Roman" w:cs="Times New Roman"/>
          <w:sz w:val="24"/>
          <w:szCs w:val="24"/>
          <w:lang w:bidi="he-IL"/>
        </w:rPr>
      </w:pPr>
      <w:r w:rsidRPr="003E384A">
        <w:rPr>
          <w:rFonts w:ascii="Times New Roman" w:eastAsia="Times New Roman" w:hAnsi="Times New Roman" w:cs="Times New Roman"/>
          <w:sz w:val="24"/>
          <w:szCs w:val="24"/>
          <w:lang w:bidi="he-IL"/>
        </w:rPr>
        <w:fldChar w:fldCharType="begin"/>
      </w:r>
      <w:r w:rsidRPr="003E384A">
        <w:rPr>
          <w:rFonts w:ascii="Times New Roman" w:eastAsia="Times New Roman" w:hAnsi="Times New Roman" w:cs="Times New Roman"/>
          <w:sz w:val="24"/>
          <w:szCs w:val="24"/>
          <w:lang w:bidi="he-IL"/>
        </w:rPr>
        <w:instrText xml:space="preserve"> INCLUDEPICTURE "/var/folders/fs/jhtxr97s5tj944xtp_h6z32w0000gn/T/com.microsoft.Word/WebArchiveCopyPasteTempFiles/800-People-Planet-Prosperity-Community-Relations.png" \* MERGEFORMATINET </w:instrText>
      </w:r>
      <w:r w:rsidR="00000000">
        <w:rPr>
          <w:rFonts w:ascii="Times New Roman" w:eastAsia="Times New Roman" w:hAnsi="Times New Roman" w:cs="Times New Roman"/>
          <w:sz w:val="24"/>
          <w:szCs w:val="24"/>
          <w:lang w:bidi="he-IL"/>
        </w:rPr>
        <w:fldChar w:fldCharType="separate"/>
      </w:r>
      <w:r w:rsidRPr="003E384A">
        <w:rPr>
          <w:rFonts w:ascii="Times New Roman" w:eastAsia="Times New Roman" w:hAnsi="Times New Roman" w:cs="Times New Roman"/>
          <w:sz w:val="24"/>
          <w:szCs w:val="24"/>
          <w:lang w:bidi="he-IL"/>
        </w:rPr>
        <w:fldChar w:fldCharType="end"/>
      </w:r>
      <w:r>
        <w:rPr>
          <w:noProof/>
        </w:rPr>
        <mc:AlternateContent>
          <mc:Choice Requires="wps">
            <w:drawing>
              <wp:anchor distT="0" distB="0" distL="114300" distR="114300" simplePos="0" relativeHeight="251658249" behindDoc="0" locked="1" layoutInCell="1" allowOverlap="1" wp14:anchorId="39867D64" wp14:editId="0D62F174">
                <wp:simplePos x="0" y="0"/>
                <wp:positionH relativeFrom="column">
                  <wp:posOffset>-91440</wp:posOffset>
                </wp:positionH>
                <wp:positionV relativeFrom="paragraph">
                  <wp:posOffset>1176020</wp:posOffset>
                </wp:positionV>
                <wp:extent cx="7109460" cy="183515"/>
                <wp:effectExtent l="0" t="0" r="2540" b="0"/>
                <wp:wrapSquare wrapText="bothSides"/>
                <wp:docPr id="15" name="Text Box 15"/>
                <wp:cNvGraphicFramePr/>
                <a:graphic xmlns:a="http://schemas.openxmlformats.org/drawingml/2006/main">
                  <a:graphicData uri="http://schemas.microsoft.com/office/word/2010/wordprocessingShape">
                    <wps:wsp>
                      <wps:cNvSpPr txBox="1"/>
                      <wps:spPr>
                        <a:xfrm>
                          <a:off x="0" y="0"/>
                          <a:ext cx="7109460" cy="183515"/>
                        </a:xfrm>
                        <a:prstGeom prst="rect">
                          <a:avLst/>
                        </a:prstGeom>
                        <a:solidFill>
                          <a:prstClr val="white"/>
                        </a:solidFill>
                        <a:ln>
                          <a:noFill/>
                        </a:ln>
                      </wps:spPr>
                      <wps:txbx>
                        <w:txbxContent>
                          <w:p w14:paraId="20935DD6" w14:textId="5D1B930B" w:rsidR="003E384A" w:rsidRPr="00AA5F6D" w:rsidRDefault="003E384A" w:rsidP="003E384A">
                            <w:pPr>
                              <w:pStyle w:val="Caption"/>
                              <w:jc w:val="center"/>
                              <w:rPr>
                                <w:rFonts w:ascii="Times New Roman" w:eastAsia="Times New Roman" w:hAnsi="Times New Roman" w:cs="Times New Roman"/>
                                <w:noProof/>
                                <w:sz w:val="24"/>
                                <w:szCs w:val="24"/>
                              </w:rPr>
                            </w:pPr>
                            <w:r>
                              <w:t xml:space="preserve">Figure </w:t>
                            </w:r>
                            <w:r w:rsidR="00102B9C">
                              <w:t>6</w:t>
                            </w:r>
                            <w:r>
                              <w:rPr>
                                <w:noProof/>
                              </w:rPr>
                              <w:t xml:space="preserve">: </w:t>
                            </w:r>
                            <w:r w:rsidR="00102B9C">
                              <w:rPr>
                                <w:noProof/>
                              </w:rPr>
                              <w:t>PG&amp;E charitable contribution objectives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7D64" id="Text Box 15" o:spid="_x0000_s1031" type="#_x0000_t202" style="position:absolute;margin-left:-7.2pt;margin-top:92.6pt;width:559.8pt;height:14.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" stroked="f">
                <v:textbox inset="0,0,0,0">
                  <w:txbxContent>
                    <w:p w14:paraId="20935DD6" w14:textId="5D1B930B" w:rsidR="003E384A" w:rsidRPr="00AA5F6D" w:rsidRDefault="003E384A" w:rsidP="003E384A">
                      <w:pPr>
                        <w:pStyle w:val="Caption"/>
                        <w:jc w:val="center"/>
                        <w:rPr>
                          <w:rFonts w:ascii="Times New Roman" w:eastAsia="Times New Roman" w:hAnsi="Times New Roman" w:cs="Times New Roman"/>
                          <w:noProof/>
                          <w:sz w:val="24"/>
                          <w:szCs w:val="24"/>
                        </w:rPr>
                      </w:pPr>
                      <w:r>
                        <w:t xml:space="preserve">Figure </w:t>
                      </w:r>
                      <w:r w:rsidR="00102B9C">
                        <w:t>6</w:t>
                      </w:r>
                      <w:r>
                        <w:rPr>
                          <w:noProof/>
                        </w:rPr>
                        <w:t xml:space="preserve">: </w:t>
                      </w:r>
                      <w:r w:rsidR="00102B9C">
                        <w:rPr>
                          <w:noProof/>
                        </w:rPr>
                        <w:t>PG&amp;E charitable contribution objectives</w:t>
                      </w:r>
                    </w:p>
                  </w:txbxContent>
                </v:textbox>
                <w10:wrap type="square"/>
                <w10:anchorlock/>
              </v:shape>
            </w:pict>
          </mc:Fallback>
        </mc:AlternateContent>
      </w:r>
    </w:p>
    <w:p w14:paraId="010BA915" w14:textId="2F4D6228" w:rsidR="00AD09DE" w:rsidRDefault="00AD09DE" w:rsidP="00AD09DE">
      <w:pPr>
        <w:rPr>
          <w:lang w:eastAsia="en-CA"/>
        </w:rPr>
      </w:pPr>
    </w:p>
    <w:p w14:paraId="4DCA70EE" w14:textId="4673D7CF" w:rsidR="00AD09DE" w:rsidRDefault="00AD09DE" w:rsidP="00AD09DE">
      <w:pPr>
        <w:rPr>
          <w:lang w:eastAsia="en-CA"/>
        </w:rPr>
      </w:pPr>
    </w:p>
    <w:p w14:paraId="4A95C141" w14:textId="77777777" w:rsidR="00AD09DE" w:rsidRDefault="00AD09DE" w:rsidP="00AD09DE">
      <w:pPr>
        <w:rPr>
          <w:lang w:eastAsia="en-CA"/>
        </w:rPr>
      </w:pPr>
    </w:p>
    <w:p w14:paraId="695608C1" w14:textId="77777777" w:rsidR="00AD09DE" w:rsidRDefault="00AD09DE" w:rsidP="00AD09DE">
      <w:pPr>
        <w:rPr>
          <w:lang w:eastAsia="en-CA"/>
        </w:rPr>
      </w:pPr>
    </w:p>
    <w:p w14:paraId="5D6C372C" w14:textId="77777777" w:rsidR="00AD09DE" w:rsidRDefault="00AD09DE" w:rsidP="00AD09DE">
      <w:pPr>
        <w:rPr>
          <w:lang w:eastAsia="en-CA"/>
        </w:rPr>
      </w:pPr>
    </w:p>
    <w:p w14:paraId="1EBF47DB" w14:textId="77777777" w:rsidR="00AD09DE" w:rsidRDefault="00AD09DE" w:rsidP="00AD09DE">
      <w:pPr>
        <w:rPr>
          <w:lang w:eastAsia="en-CA"/>
        </w:rPr>
      </w:pPr>
    </w:p>
    <w:p w14:paraId="14EE8CE8" w14:textId="2A00ECCE" w:rsidR="00AD09DE" w:rsidRDefault="00AD09DE" w:rsidP="00AD09DE">
      <w:pPr>
        <w:rPr>
          <w:lang w:eastAsia="en-CA"/>
        </w:rPr>
      </w:pPr>
    </w:p>
    <w:p w14:paraId="00896685" w14:textId="322E9AF7" w:rsidR="00AD09DE" w:rsidRDefault="00AD09DE" w:rsidP="00AD09DE">
      <w:pPr>
        <w:rPr>
          <w:lang w:eastAsia="en-CA"/>
        </w:rPr>
      </w:pPr>
    </w:p>
    <w:p w14:paraId="40FBB45F" w14:textId="13438029" w:rsidR="00AD09DE" w:rsidRDefault="00AD09DE" w:rsidP="00AD09DE">
      <w:pPr>
        <w:rPr>
          <w:lang w:eastAsia="en-CA"/>
        </w:rPr>
      </w:pPr>
    </w:p>
    <w:p w14:paraId="1F986662" w14:textId="349C8E00" w:rsidR="00AD09DE" w:rsidRDefault="00AD09DE" w:rsidP="00AD09DE">
      <w:pPr>
        <w:rPr>
          <w:lang w:eastAsia="en-CA"/>
        </w:rPr>
      </w:pPr>
    </w:p>
    <w:p w14:paraId="75006C04" w14:textId="2C3CC360" w:rsidR="00AD09DE" w:rsidRDefault="00AD09DE" w:rsidP="00AD09DE">
      <w:pPr>
        <w:rPr>
          <w:lang w:eastAsia="en-CA"/>
        </w:rPr>
      </w:pPr>
    </w:p>
    <w:p w14:paraId="321FFF56" w14:textId="77777777" w:rsidR="00AD09DE" w:rsidRDefault="00AD09DE" w:rsidP="00AD09DE">
      <w:pPr>
        <w:rPr>
          <w:lang w:eastAsia="en-CA"/>
        </w:rPr>
      </w:pPr>
    </w:p>
    <w:p w14:paraId="06445BF7" w14:textId="77777777" w:rsidR="00AD09DE" w:rsidRDefault="00AD09DE" w:rsidP="00AD09DE">
      <w:pPr>
        <w:rPr>
          <w:lang w:eastAsia="en-CA"/>
        </w:rPr>
      </w:pPr>
    </w:p>
    <w:p w14:paraId="24E3B408" w14:textId="77777777" w:rsidR="00AD09DE" w:rsidRDefault="00AD09DE" w:rsidP="00AD09DE">
      <w:pPr>
        <w:rPr>
          <w:lang w:eastAsia="en-CA"/>
        </w:rPr>
      </w:pPr>
    </w:p>
    <w:p w14:paraId="6139FDC4" w14:textId="77777777" w:rsidR="00AD09DE" w:rsidRDefault="00AD09DE" w:rsidP="00AD09DE">
      <w:pPr>
        <w:rPr>
          <w:lang w:eastAsia="en-CA"/>
        </w:rPr>
      </w:pPr>
    </w:p>
    <w:p w14:paraId="2BFA1A51" w14:textId="77777777" w:rsidR="00AD09DE" w:rsidRDefault="00AD09DE" w:rsidP="00AD09DE">
      <w:pPr>
        <w:rPr>
          <w:lang w:eastAsia="en-CA"/>
        </w:rPr>
      </w:pPr>
    </w:p>
    <w:p w14:paraId="3B5A949A" w14:textId="77777777" w:rsidR="00AD09DE" w:rsidRDefault="00AD09DE" w:rsidP="00AD09DE">
      <w:pPr>
        <w:rPr>
          <w:lang w:eastAsia="en-CA"/>
        </w:rPr>
      </w:pPr>
    </w:p>
    <w:p w14:paraId="2E026925" w14:textId="77777777" w:rsidR="00AD09DE" w:rsidRDefault="00AD09DE" w:rsidP="00AD09DE">
      <w:pPr>
        <w:rPr>
          <w:lang w:eastAsia="en-CA"/>
        </w:rPr>
      </w:pPr>
    </w:p>
    <w:p w14:paraId="6AA67865" w14:textId="77777777" w:rsidR="00AD09DE" w:rsidRDefault="00AD09DE" w:rsidP="00AD09DE">
      <w:pPr>
        <w:rPr>
          <w:lang w:eastAsia="en-CA"/>
        </w:rPr>
      </w:pPr>
    </w:p>
    <w:p w14:paraId="49BD5786" w14:textId="77777777" w:rsidR="00AD09DE" w:rsidRDefault="00AD09DE" w:rsidP="00AD09DE">
      <w:pPr>
        <w:rPr>
          <w:lang w:eastAsia="en-CA"/>
        </w:rPr>
      </w:pPr>
    </w:p>
    <w:p w14:paraId="7007D3BB" w14:textId="77777777" w:rsidR="00AD09DE" w:rsidRDefault="00AD09DE" w:rsidP="00AD09DE">
      <w:pPr>
        <w:rPr>
          <w:lang w:eastAsia="en-CA"/>
        </w:rPr>
      </w:pPr>
    </w:p>
    <w:p w14:paraId="35621C29" w14:textId="77777777" w:rsidR="00AD09DE" w:rsidRDefault="00AD09DE" w:rsidP="00AD09DE">
      <w:pPr>
        <w:rPr>
          <w:lang w:eastAsia="en-CA"/>
        </w:rPr>
      </w:pPr>
    </w:p>
    <w:p w14:paraId="7B556F8F" w14:textId="77777777" w:rsidR="00AD09DE" w:rsidRDefault="00AD09DE" w:rsidP="00AD09DE">
      <w:pPr>
        <w:rPr>
          <w:lang w:eastAsia="en-CA"/>
        </w:rPr>
      </w:pPr>
    </w:p>
    <w:p w14:paraId="4A2CA6BB" w14:textId="77777777" w:rsidR="00AD09DE" w:rsidRDefault="00AD09DE" w:rsidP="00AD09DE">
      <w:pPr>
        <w:rPr>
          <w:lang w:eastAsia="en-CA"/>
        </w:rPr>
      </w:pPr>
    </w:p>
    <w:p w14:paraId="7B7328F8" w14:textId="17A5AEB9" w:rsidR="00AD09DE" w:rsidRPr="00AD09DE" w:rsidRDefault="00AD09DE" w:rsidP="00AD09DE">
      <w:pPr>
        <w:rPr>
          <w:lang w:eastAsia="en-CA"/>
        </w:rPr>
        <w:sectPr w:rsidR="00AD09DE" w:rsidRPr="00AD09DE" w:rsidSect="003E3240">
          <w:endnotePr>
            <w:numFmt w:val="decimal"/>
          </w:endnotePr>
          <w:type w:val="continuous"/>
          <w:pgSz w:w="12240" w:h="15840"/>
          <w:pgMar w:top="567" w:right="567" w:bottom="845" w:left="567" w:header="709" w:footer="397" w:gutter="0"/>
          <w:cols w:num="2" w:space="397"/>
          <w:docGrid w:linePitch="360"/>
        </w:sectPr>
      </w:pPr>
    </w:p>
    <w:p w14:paraId="43E748C1" w14:textId="70FF9BD4" w:rsidR="003C41B7" w:rsidRDefault="003C41B7" w:rsidP="003E384A">
      <w:pPr>
        <w:spacing w:after="0" w:line="276" w:lineRule="auto"/>
        <w:rPr>
          <w:rFonts w:ascii="Arial" w:eastAsia="Times New Roman" w:hAnsi="Arial" w:cs="Arial"/>
          <w:b/>
          <w:bCs/>
          <w:color w:val="000000"/>
          <w:u w:val="single"/>
          <w:lang w:eastAsia="en-CA"/>
        </w:rPr>
        <w:sectPr w:rsidR="003C41B7" w:rsidSect="007A2424">
          <w:endnotePr>
            <w:numFmt w:val="decimal"/>
          </w:endnotePr>
          <w:type w:val="continuous"/>
          <w:pgSz w:w="12240" w:h="15840"/>
          <w:pgMar w:top="567" w:right="567" w:bottom="845" w:left="567" w:header="709" w:footer="709" w:gutter="0"/>
          <w:cols w:space="397"/>
          <w:docGrid w:linePitch="360"/>
        </w:sectPr>
      </w:pPr>
    </w:p>
    <w:p w14:paraId="5A5723F2" w14:textId="75EA097E" w:rsidR="003E384A" w:rsidRPr="0001147C" w:rsidRDefault="004E343B" w:rsidP="003E384A">
      <w:pPr>
        <w:pStyle w:val="Heading1"/>
        <w:spacing w:after="240"/>
        <w:sectPr w:rsidR="003E384A" w:rsidRPr="0001147C" w:rsidSect="0086062C">
          <w:endnotePr>
            <w:numFmt w:val="decimal"/>
          </w:endnotePr>
          <w:type w:val="continuous"/>
          <w:pgSz w:w="12240" w:h="15840"/>
          <w:pgMar w:top="567" w:right="567" w:bottom="845" w:left="567" w:header="709" w:footer="397" w:gutter="0"/>
          <w:cols w:space="397"/>
          <w:docGrid w:linePitch="360"/>
        </w:sectPr>
      </w:pPr>
      <w:bookmarkStart w:id="3" w:name="_Toc110685475"/>
      <w:r>
        <w:lastRenderedPageBreak/>
        <w:t>Policy</w:t>
      </w:r>
      <w:r w:rsidR="003E384A">
        <w:t xml:space="preserve"> Risk</w:t>
      </w:r>
      <w:bookmarkEnd w:id="3"/>
    </w:p>
    <w:p w14:paraId="6882C400" w14:textId="16684172" w:rsidR="001021E7" w:rsidRPr="007A2424" w:rsidRDefault="00183DA4" w:rsidP="003E384A">
      <w:pPr>
        <w:spacing w:after="0" w:line="276" w:lineRule="auto"/>
        <w:jc w:val="both"/>
        <w:rPr>
          <w:rFonts w:ascii="Times New Roman" w:eastAsia="Times New Roman" w:hAnsi="Times New Roman" w:cs="Times New Roman"/>
          <w:color w:val="345A8A"/>
          <w:sz w:val="28"/>
          <w:szCs w:val="28"/>
          <w:lang w:eastAsia="en-CA"/>
        </w:rPr>
      </w:pPr>
      <w:r>
        <w:rPr>
          <w:rFonts w:ascii="Arial" w:eastAsia="Times New Roman" w:hAnsi="Arial" w:cs="Arial"/>
          <w:b/>
          <w:bCs/>
          <w:color w:val="345A8A"/>
          <w:sz w:val="28"/>
          <w:szCs w:val="28"/>
          <w:lang w:eastAsia="en-CA"/>
        </w:rPr>
        <w:t>Background</w:t>
      </w:r>
    </w:p>
    <w:p w14:paraId="525F5EC1" w14:textId="3CCDD855" w:rsidR="00183DA4" w:rsidRDefault="007A2424" w:rsidP="003E384A">
      <w:pPr>
        <w:spacing w:after="0" w:line="276" w:lineRule="auto"/>
        <w:jc w:val="both"/>
        <w:rPr>
          <w:rFonts w:ascii="Arial" w:eastAsia="Times New Roman" w:hAnsi="Arial" w:cs="Arial"/>
          <w:color w:val="000000"/>
          <w:lang w:eastAsia="en-CA"/>
        </w:rPr>
      </w:pPr>
      <w:r w:rsidRPr="007A2424">
        <w:rPr>
          <w:rFonts w:ascii="Arial" w:eastAsia="Times New Roman" w:hAnsi="Arial" w:cs="Arial"/>
          <w:color w:val="000000"/>
          <w:lang w:eastAsia="en-CA"/>
        </w:rPr>
        <w:t>        </w:t>
      </w:r>
      <w:r w:rsidR="00183DA4" w:rsidRPr="00183DA4">
        <w:rPr>
          <w:rFonts w:ascii="Arial" w:eastAsia="Times New Roman" w:hAnsi="Arial" w:cs="Arial"/>
          <w:color w:val="000000"/>
          <w:lang w:eastAsia="en-CA"/>
        </w:rPr>
        <w:t>Governments play an influential role in shaping the clean energy sector by creating policies that ensure that sustainability is a priority. Energy storage systems are becoming increasingly popular in the clean energy sector; therefore, the US is working to create policies that reflect the need for sustainable energy storage practices.</w:t>
      </w:r>
      <w:r w:rsidR="004E343B">
        <w:rPr>
          <w:rStyle w:val="EndnoteReference"/>
          <w:rFonts w:ascii="Arial" w:eastAsia="Times New Roman" w:hAnsi="Arial" w:cs="Arial"/>
          <w:color w:val="000000"/>
          <w:lang w:eastAsia="en-CA"/>
        </w:rPr>
        <w:endnoteReference w:id="61"/>
      </w:r>
      <w:r w:rsidR="004E343B">
        <w:rPr>
          <w:rFonts w:ascii="Arial" w:eastAsia="Times New Roman" w:hAnsi="Arial" w:cs="Arial"/>
          <w:color w:val="000000"/>
          <w:lang w:eastAsia="en-CA"/>
        </w:rPr>
        <w:t xml:space="preserve"> </w:t>
      </w:r>
      <w:r w:rsidR="00183DA4" w:rsidRPr="00183DA4">
        <w:rPr>
          <w:rFonts w:ascii="Arial" w:eastAsia="Times New Roman" w:hAnsi="Arial" w:cs="Arial"/>
          <w:color w:val="000000"/>
          <w:lang w:eastAsia="en-CA"/>
        </w:rPr>
        <w:t>There has been a significant increase in energy storage-related measures under consideration by state legislatures, going from 88 energy storage-related measures in 2018 to 260 in 2020.</w:t>
      </w:r>
      <w:r w:rsidR="004E343B">
        <w:rPr>
          <w:rStyle w:val="EndnoteReference"/>
          <w:rFonts w:ascii="Arial" w:eastAsia="Times New Roman" w:hAnsi="Arial" w:cs="Arial"/>
          <w:color w:val="000000"/>
          <w:lang w:eastAsia="en-CA"/>
        </w:rPr>
        <w:endnoteReference w:id="62"/>
      </w:r>
      <w:r w:rsidR="004E343B">
        <w:rPr>
          <w:rFonts w:ascii="Arial" w:eastAsia="Times New Roman" w:hAnsi="Arial" w:cs="Arial"/>
          <w:color w:val="000000"/>
          <w:lang w:eastAsia="en-CA"/>
        </w:rPr>
        <w:t xml:space="preserve"> </w:t>
      </w:r>
      <w:r w:rsidR="00183DA4" w:rsidRPr="00183DA4">
        <w:rPr>
          <w:rFonts w:ascii="Arial" w:eastAsia="Times New Roman" w:hAnsi="Arial" w:cs="Arial"/>
          <w:color w:val="000000"/>
          <w:lang w:eastAsia="en-CA"/>
        </w:rPr>
        <w:t>In February 2018, the Federal Energy Regulatory Commission (FERC) unanimously created a federal order that mandated the evaluation of the tariffs for energy storage systems which can help decrease the various barriers in place to securing energy storage systems.</w:t>
      </w:r>
      <w:r w:rsidR="005D21C6">
        <w:rPr>
          <w:rStyle w:val="EndnoteReference"/>
          <w:rFonts w:ascii="Arial" w:eastAsia="Times New Roman" w:hAnsi="Arial" w:cs="Arial"/>
          <w:color w:val="000000"/>
          <w:lang w:eastAsia="en-CA"/>
        </w:rPr>
        <w:endnoteReference w:id="63"/>
      </w:r>
      <w:r w:rsidR="005D21C6">
        <w:rPr>
          <w:rFonts w:ascii="Arial" w:eastAsia="Times New Roman" w:hAnsi="Arial" w:cs="Arial"/>
          <w:color w:val="000000"/>
          <w:lang w:eastAsia="en-CA"/>
        </w:rPr>
        <w:t xml:space="preserve"> </w:t>
      </w:r>
      <w:r w:rsidR="00183DA4" w:rsidRPr="00183DA4">
        <w:rPr>
          <w:rFonts w:ascii="Arial" w:eastAsia="Times New Roman" w:hAnsi="Arial" w:cs="Arial"/>
          <w:color w:val="000000"/>
          <w:lang w:eastAsia="en-CA"/>
        </w:rPr>
        <w:t xml:space="preserve">Along with additional federal investment towards energy storage innovation, federally, the government has begun to recognize the benefits associated with energy storage systems. </w:t>
      </w:r>
    </w:p>
    <w:p w14:paraId="7E0F38B1" w14:textId="23CF4A8D" w:rsidR="002C18FF" w:rsidRPr="002C18FF" w:rsidRDefault="002C18FF" w:rsidP="002C18FF">
      <w:pPr>
        <w:spacing w:after="0" w:line="240" w:lineRule="auto"/>
        <w:rPr>
          <w:rFonts w:ascii="Times New Roman" w:eastAsia="Times New Roman" w:hAnsi="Times New Roman" w:cs="Times New Roman"/>
          <w:sz w:val="24"/>
          <w:szCs w:val="24"/>
          <w:lang w:bidi="he-IL"/>
        </w:rPr>
      </w:pPr>
      <w:r w:rsidRPr="002C18FF">
        <w:rPr>
          <w:rFonts w:ascii="Times New Roman" w:eastAsia="Times New Roman" w:hAnsi="Times New Roman" w:cs="Times New Roman"/>
          <w:sz w:val="24"/>
          <w:szCs w:val="24"/>
          <w:lang w:bidi="he-IL"/>
        </w:rPr>
        <w:fldChar w:fldCharType="begin"/>
      </w:r>
      <w:r w:rsidRPr="002C18FF">
        <w:rPr>
          <w:rFonts w:ascii="Times New Roman" w:eastAsia="Times New Roman" w:hAnsi="Times New Roman" w:cs="Times New Roman"/>
          <w:sz w:val="24"/>
          <w:szCs w:val="24"/>
          <w:lang w:bidi="he-IL"/>
        </w:rPr>
        <w:instrText xml:space="preserve"> INCLUDEPICTURE "https://i0.wp.com/thehill.com/wp-content/uploads/sites/2/2019/11/ca_gavinnewsom_102719_getty_1.jpg?w=2000&amp;ssl=1" \* MERGEFORMATINET </w:instrText>
      </w:r>
      <w:r w:rsidRPr="002C18FF">
        <w:rPr>
          <w:rFonts w:ascii="Times New Roman" w:eastAsia="Times New Roman" w:hAnsi="Times New Roman" w:cs="Times New Roman"/>
          <w:sz w:val="24"/>
          <w:szCs w:val="24"/>
          <w:lang w:bidi="he-IL"/>
        </w:rPr>
        <w:fldChar w:fldCharType="separate"/>
      </w:r>
      <w:r w:rsidRPr="002C18FF">
        <w:rPr>
          <w:rFonts w:ascii="Times New Roman" w:eastAsia="Times New Roman" w:hAnsi="Times New Roman" w:cs="Times New Roman"/>
          <w:noProof/>
          <w:sz w:val="24"/>
          <w:szCs w:val="24"/>
          <w:lang w:bidi="he-IL"/>
        </w:rPr>
        <w:drawing>
          <wp:inline distT="0" distB="0" distL="0" distR="0" wp14:anchorId="60E2F649" wp14:editId="03B076EE">
            <wp:extent cx="3399790" cy="1911350"/>
            <wp:effectExtent l="0" t="0" r="3810" b="6350"/>
            <wp:docPr id="16" name="Picture 16" descr="a photo of California Governor Gavin New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hoto of California Governor Gavin News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9790" cy="1911350"/>
                    </a:xfrm>
                    <a:prstGeom prst="rect">
                      <a:avLst/>
                    </a:prstGeom>
                    <a:noFill/>
                    <a:ln>
                      <a:noFill/>
                    </a:ln>
                  </pic:spPr>
                </pic:pic>
              </a:graphicData>
            </a:graphic>
          </wp:inline>
        </w:drawing>
      </w:r>
      <w:r w:rsidRPr="002C18FF">
        <w:rPr>
          <w:rFonts w:ascii="Times New Roman" w:eastAsia="Times New Roman" w:hAnsi="Times New Roman" w:cs="Times New Roman"/>
          <w:sz w:val="24"/>
          <w:szCs w:val="24"/>
          <w:lang w:bidi="he-IL"/>
        </w:rPr>
        <w:fldChar w:fldCharType="end"/>
      </w:r>
    </w:p>
    <w:p w14:paraId="4025DA97" w14:textId="174063FB" w:rsidR="002C18FF" w:rsidRDefault="002C18FF" w:rsidP="002C18FF">
      <w:pPr>
        <w:spacing w:after="0" w:line="276" w:lineRule="auto"/>
        <w:ind w:firstLine="720"/>
        <w:jc w:val="both"/>
        <w:rPr>
          <w:rFonts w:ascii="Arial" w:eastAsia="Times New Roman" w:hAnsi="Arial" w:cs="Arial"/>
          <w:color w:val="000000"/>
          <w:lang w:eastAsia="en-CA"/>
        </w:rPr>
      </w:pPr>
      <w:r>
        <w:rPr>
          <w:noProof/>
        </w:rPr>
        <mc:AlternateContent>
          <mc:Choice Requires="wps">
            <w:drawing>
              <wp:anchor distT="0" distB="0" distL="114300" distR="114300" simplePos="0" relativeHeight="251658251" behindDoc="0" locked="0" layoutInCell="1" allowOverlap="1" wp14:anchorId="2CDD7646" wp14:editId="4D5B031D">
                <wp:simplePos x="0" y="0"/>
                <wp:positionH relativeFrom="column">
                  <wp:posOffset>0</wp:posOffset>
                </wp:positionH>
                <wp:positionV relativeFrom="paragraph">
                  <wp:posOffset>26637</wp:posOffset>
                </wp:positionV>
                <wp:extent cx="3433445" cy="165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433445" cy="165600"/>
                        </a:xfrm>
                        <a:prstGeom prst="rect">
                          <a:avLst/>
                        </a:prstGeom>
                        <a:solidFill>
                          <a:prstClr val="white"/>
                        </a:solidFill>
                        <a:ln>
                          <a:noFill/>
                        </a:ln>
                      </wps:spPr>
                      <wps:txbx>
                        <w:txbxContent>
                          <w:p w14:paraId="6778E025" w14:textId="1C52263A" w:rsidR="002C18FF" w:rsidRPr="00AA5F6D" w:rsidRDefault="002C18FF" w:rsidP="002C18FF">
                            <w:pPr>
                              <w:pStyle w:val="Caption"/>
                              <w:jc w:val="center"/>
                              <w:rPr>
                                <w:rFonts w:ascii="Times New Roman" w:eastAsia="Times New Roman" w:hAnsi="Times New Roman" w:cs="Times New Roman"/>
                                <w:noProof/>
                                <w:sz w:val="24"/>
                                <w:szCs w:val="24"/>
                              </w:rPr>
                            </w:pPr>
                            <w:r>
                              <w:t xml:space="preserve">Figure </w:t>
                            </w:r>
                            <w:r w:rsidR="00102B9C">
                              <w:t>7</w:t>
                            </w:r>
                            <w:r>
                              <w:t>:</w:t>
                            </w:r>
                            <w:r>
                              <w:rPr>
                                <w:noProof/>
                              </w:rPr>
                              <w:t xml:space="preserve"> </w:t>
                            </w:r>
                            <w:r w:rsidR="00102B9C">
                              <w:rPr>
                                <w:noProof/>
                              </w:rPr>
                              <w:t>Governor Gavin Newson of California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D7646" id="Text Box 17" o:spid="_x0000_s1032" type="#_x0000_t202" style="position:absolute;left:0;text-align:left;margin-left:0;margin-top:2.1pt;width:270.35pt;height:13.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" stroked="f">
                <v:textbox inset="0,0,0,0">
                  <w:txbxContent>
                    <w:p w14:paraId="6778E025" w14:textId="1C52263A" w:rsidR="002C18FF" w:rsidRPr="00AA5F6D" w:rsidRDefault="002C18FF" w:rsidP="002C18FF">
                      <w:pPr>
                        <w:pStyle w:val="Caption"/>
                        <w:jc w:val="center"/>
                        <w:rPr>
                          <w:rFonts w:ascii="Times New Roman" w:eastAsia="Times New Roman" w:hAnsi="Times New Roman" w:cs="Times New Roman"/>
                          <w:noProof/>
                          <w:sz w:val="24"/>
                          <w:szCs w:val="24"/>
                        </w:rPr>
                      </w:pPr>
                      <w:r>
                        <w:t xml:space="preserve">Figure </w:t>
                      </w:r>
                      <w:r w:rsidR="00102B9C">
                        <w:t>7</w:t>
                      </w:r>
                      <w:r>
                        <w:t>:</w:t>
                      </w:r>
                      <w:r>
                        <w:rPr>
                          <w:noProof/>
                        </w:rPr>
                        <w:t xml:space="preserve"> </w:t>
                      </w:r>
                      <w:r w:rsidR="00102B9C">
                        <w:rPr>
                          <w:noProof/>
                        </w:rPr>
                        <w:t>Governor Gavin Newson of California</w:t>
                      </w:r>
                    </w:p>
                  </w:txbxContent>
                </v:textbox>
                <w10:wrap type="square"/>
              </v:shape>
            </w:pict>
          </mc:Fallback>
        </mc:AlternateContent>
      </w:r>
      <w:r w:rsidR="00183DA4" w:rsidRPr="00183DA4">
        <w:rPr>
          <w:rFonts w:ascii="Arial" w:eastAsia="Times New Roman" w:hAnsi="Arial" w:cs="Arial"/>
          <w:color w:val="000000"/>
          <w:lang w:eastAsia="en-CA"/>
        </w:rPr>
        <w:t xml:space="preserve">This section will identify three major risks associated with energy storage which include, the lack of state-made energy storage policies, uncertainty regarding the new technology and the lack of incentive to incorporate energy storage systems within homes. To mitigate these challenges, this section will refer to the strategies utilized by the Government of California, a major state paving the way in the policy realm of energy storage. </w:t>
      </w:r>
    </w:p>
    <w:p w14:paraId="1C484EDB" w14:textId="1D05E3A7" w:rsidR="005D21C6" w:rsidRDefault="005D21C6" w:rsidP="002C18FF">
      <w:pPr>
        <w:spacing w:after="0" w:line="276" w:lineRule="auto"/>
        <w:ind w:firstLine="720"/>
        <w:jc w:val="both"/>
        <w:rPr>
          <w:rFonts w:ascii="Arial" w:eastAsia="Times New Roman" w:hAnsi="Arial" w:cs="Arial"/>
          <w:color w:val="000000"/>
          <w:lang w:eastAsia="en-CA"/>
        </w:rPr>
      </w:pPr>
    </w:p>
    <w:p w14:paraId="05FB4B13" w14:textId="147BBD5F" w:rsidR="005D21C6" w:rsidRDefault="005D21C6" w:rsidP="002C18FF">
      <w:pPr>
        <w:spacing w:after="0" w:line="276" w:lineRule="auto"/>
        <w:ind w:firstLine="720"/>
        <w:jc w:val="both"/>
        <w:rPr>
          <w:rFonts w:ascii="Arial" w:eastAsia="Times New Roman" w:hAnsi="Arial" w:cs="Arial"/>
          <w:color w:val="000000"/>
          <w:lang w:eastAsia="en-CA"/>
        </w:rPr>
      </w:pPr>
    </w:p>
    <w:p w14:paraId="6A1C9218" w14:textId="77777777" w:rsidR="005D21C6" w:rsidRPr="002C18FF" w:rsidRDefault="005D21C6" w:rsidP="002C18FF">
      <w:pPr>
        <w:spacing w:after="0" w:line="276" w:lineRule="auto"/>
        <w:ind w:firstLine="720"/>
        <w:jc w:val="both"/>
        <w:rPr>
          <w:rFonts w:ascii="Arial" w:eastAsia="Times New Roman" w:hAnsi="Arial" w:cs="Arial"/>
          <w:color w:val="000000"/>
          <w:lang w:eastAsia="en-CA"/>
        </w:rPr>
      </w:pPr>
    </w:p>
    <w:p w14:paraId="5F6F8A42" w14:textId="74FCABB4" w:rsidR="001021E7" w:rsidRDefault="00183DA4" w:rsidP="003E384A">
      <w:pPr>
        <w:spacing w:after="0" w:line="276" w:lineRule="auto"/>
        <w:jc w:val="both"/>
        <w:rPr>
          <w:rFonts w:ascii="Arial" w:eastAsia="Times New Roman" w:hAnsi="Arial" w:cs="Arial"/>
          <w:b/>
          <w:bCs/>
          <w:sz w:val="28"/>
          <w:szCs w:val="28"/>
          <w:lang w:eastAsia="en-CA"/>
        </w:rPr>
      </w:pPr>
      <w:r>
        <w:rPr>
          <w:rFonts w:ascii="Arial" w:eastAsia="Times New Roman" w:hAnsi="Arial" w:cs="Arial"/>
          <w:b/>
          <w:bCs/>
          <w:sz w:val="28"/>
          <w:szCs w:val="28"/>
          <w:lang w:eastAsia="en-CA"/>
        </w:rPr>
        <w:t>Risks</w:t>
      </w:r>
    </w:p>
    <w:p w14:paraId="78C52C60" w14:textId="6D068AFA" w:rsidR="00432F4C" w:rsidRPr="00432F4C" w:rsidRDefault="00432F4C" w:rsidP="003E384A">
      <w:pPr>
        <w:spacing w:after="0" w:line="276" w:lineRule="auto"/>
        <w:jc w:val="both"/>
        <w:rPr>
          <w:rFonts w:ascii="Times New Roman" w:eastAsia="Times New Roman" w:hAnsi="Times New Roman" w:cs="Times New Roman"/>
          <w:i/>
          <w:iCs/>
          <w:color w:val="345A8A"/>
          <w:sz w:val="28"/>
          <w:szCs w:val="28"/>
          <w:lang w:eastAsia="en-CA"/>
        </w:rPr>
      </w:pPr>
      <w:r>
        <w:rPr>
          <w:rFonts w:ascii="Arial" w:eastAsia="Times New Roman" w:hAnsi="Arial" w:cs="Arial"/>
          <w:b/>
          <w:bCs/>
          <w:i/>
          <w:iCs/>
          <w:color w:val="345A8A"/>
          <w:sz w:val="28"/>
          <w:szCs w:val="28"/>
          <w:lang w:eastAsia="en-CA"/>
        </w:rPr>
        <w:t>Risk #1: The lack of policies in place in the states to prioritize energy storage</w:t>
      </w:r>
    </w:p>
    <w:p w14:paraId="2495B08A" w14:textId="5CAEDE23" w:rsidR="00432F4C" w:rsidRDefault="00432F4C" w:rsidP="003E384A">
      <w:pPr>
        <w:spacing w:after="0" w:line="276" w:lineRule="auto"/>
        <w:ind w:firstLine="720"/>
        <w:jc w:val="both"/>
        <w:rPr>
          <w:rFonts w:ascii="Arial" w:eastAsia="Times New Roman" w:hAnsi="Arial" w:cs="Arial"/>
          <w:color w:val="000000"/>
          <w:lang w:eastAsia="en-CA"/>
        </w:rPr>
      </w:pPr>
      <w:r w:rsidRPr="00432F4C">
        <w:rPr>
          <w:rFonts w:ascii="Arial" w:eastAsia="Times New Roman" w:hAnsi="Arial" w:cs="Arial"/>
          <w:color w:val="000000"/>
          <w:lang w:eastAsia="en-CA"/>
        </w:rPr>
        <w:t>Energy storage systems enable the reduction of greenhouse gas emissions by creating more efficient uses of energy. By integrating energy storage systems into the energy market, not only are there positive environmental impacts but also improved reliability during power outages, along with reducing consumer spending in the long run.</w:t>
      </w:r>
      <w:r w:rsidR="005D21C6">
        <w:rPr>
          <w:rStyle w:val="EndnoteReference"/>
          <w:rFonts w:ascii="Arial" w:eastAsia="Times New Roman" w:hAnsi="Arial" w:cs="Arial"/>
          <w:color w:val="000000"/>
          <w:lang w:eastAsia="en-CA"/>
        </w:rPr>
        <w:endnoteReference w:id="64"/>
      </w:r>
      <w:r w:rsidR="005D21C6">
        <w:rPr>
          <w:rFonts w:ascii="Arial" w:eastAsia="Times New Roman" w:hAnsi="Arial" w:cs="Arial"/>
          <w:color w:val="000000"/>
          <w:lang w:eastAsia="en-CA"/>
        </w:rPr>
        <w:t xml:space="preserve"> </w:t>
      </w:r>
      <w:r w:rsidRPr="00432F4C">
        <w:rPr>
          <w:rFonts w:ascii="Arial" w:eastAsia="Times New Roman" w:hAnsi="Arial" w:cs="Arial"/>
          <w:color w:val="000000"/>
          <w:lang w:eastAsia="en-CA"/>
        </w:rPr>
        <w:t>As energy storage actively plays an increasingly influential role in the energy sector, instating regulatory policies at the state level will enable tangible growth in the energy storage market. Despite the major benefits associated with energy storage systems, currently, at the state level, there is a lack of energy storage policies in place. In June 2021, only eight out of the fifty states had energy storage policies in place. This poses a major risk to the transition towards renewable energy.</w:t>
      </w:r>
      <w:r w:rsidR="005D21C6">
        <w:rPr>
          <w:rStyle w:val="EndnoteReference"/>
          <w:rFonts w:ascii="Arial" w:eastAsia="Times New Roman" w:hAnsi="Arial" w:cs="Arial"/>
          <w:color w:val="000000"/>
          <w:lang w:eastAsia="en-CA"/>
        </w:rPr>
        <w:endnoteReference w:id="65"/>
      </w:r>
      <w:r w:rsidRPr="00432F4C">
        <w:rPr>
          <w:rFonts w:ascii="Arial" w:eastAsia="Times New Roman" w:hAnsi="Arial" w:cs="Arial"/>
          <w:color w:val="000000"/>
          <w:lang w:eastAsia="en-CA"/>
        </w:rPr>
        <w:t xml:space="preserve">   </w:t>
      </w:r>
    </w:p>
    <w:p w14:paraId="344B8756" w14:textId="77777777" w:rsidR="00432F4C" w:rsidRDefault="00432F4C" w:rsidP="003E384A">
      <w:pPr>
        <w:spacing w:after="0" w:line="276" w:lineRule="auto"/>
        <w:ind w:firstLine="720"/>
        <w:jc w:val="both"/>
        <w:rPr>
          <w:rFonts w:ascii="Arial" w:eastAsia="Times New Roman" w:hAnsi="Arial" w:cs="Arial"/>
          <w:color w:val="000000"/>
          <w:lang w:eastAsia="en-CA"/>
        </w:rPr>
      </w:pPr>
    </w:p>
    <w:p w14:paraId="08847608" w14:textId="7F83C203" w:rsidR="00432F4C" w:rsidRPr="00432F4C" w:rsidRDefault="00432F4C" w:rsidP="003E384A">
      <w:pPr>
        <w:spacing w:after="0" w:line="276" w:lineRule="auto"/>
        <w:jc w:val="both"/>
        <w:rPr>
          <w:rFonts w:ascii="Times New Roman" w:eastAsia="Times New Roman" w:hAnsi="Times New Roman" w:cs="Times New Roman"/>
          <w:i/>
          <w:iCs/>
          <w:color w:val="345A8A"/>
          <w:sz w:val="28"/>
          <w:szCs w:val="28"/>
          <w:lang w:eastAsia="en-CA"/>
        </w:rPr>
      </w:pPr>
      <w:r>
        <w:rPr>
          <w:rFonts w:ascii="Arial" w:eastAsia="Times New Roman" w:hAnsi="Arial" w:cs="Arial"/>
          <w:b/>
          <w:bCs/>
          <w:i/>
          <w:iCs/>
          <w:color w:val="345A8A"/>
          <w:sz w:val="28"/>
          <w:szCs w:val="28"/>
          <w:lang w:eastAsia="en-CA"/>
        </w:rPr>
        <w:t>Risk #2: Uncertainty regarding new technology and potential for high upfront costs</w:t>
      </w:r>
    </w:p>
    <w:p w14:paraId="7EE45525" w14:textId="59077141" w:rsidR="00432F4C" w:rsidRDefault="00432F4C" w:rsidP="003E384A">
      <w:pPr>
        <w:spacing w:after="0" w:line="276" w:lineRule="auto"/>
        <w:ind w:firstLine="720"/>
        <w:jc w:val="both"/>
        <w:rPr>
          <w:rFonts w:ascii="Arial" w:eastAsia="Times New Roman" w:hAnsi="Arial" w:cs="Arial"/>
          <w:color w:val="000000"/>
          <w:lang w:eastAsia="en-CA"/>
        </w:rPr>
      </w:pPr>
      <w:r w:rsidRPr="00432F4C">
        <w:rPr>
          <w:rFonts w:ascii="Arial" w:eastAsia="Times New Roman" w:hAnsi="Arial" w:cs="Arial"/>
          <w:color w:val="000000"/>
          <w:lang w:eastAsia="en-CA"/>
        </w:rPr>
        <w:t>The utility grid is continually evolving to reflect the most cost-effective and innovative technologies. Over the past decade, the overall costs of energy storage systems have significantly decreased, especially given the FERC’s order to reduce barriers to energy storage policies. Recognizing the unique nature of energy storage systems, a major risk associated with energy storage policies is the overall inexperience with energy storage systems, resulting in a lack of understanding of the various associated costs. Only 30-40 percent of the costs are “hard costs,” which is the technology, whereas the majority of the costs are engineering, auxiliary technologies, integration known as “soft costs.”</w:t>
      </w:r>
      <w:r w:rsidR="005D21C6">
        <w:rPr>
          <w:rStyle w:val="EndnoteReference"/>
          <w:rFonts w:ascii="Arial" w:eastAsia="Times New Roman" w:hAnsi="Arial" w:cs="Arial"/>
          <w:color w:val="000000"/>
          <w:lang w:eastAsia="en-CA"/>
        </w:rPr>
        <w:endnoteReference w:id="66"/>
      </w:r>
      <w:r w:rsidR="005D21C6">
        <w:rPr>
          <w:rFonts w:ascii="Arial" w:eastAsia="Times New Roman" w:hAnsi="Arial" w:cs="Arial"/>
          <w:color w:val="000000"/>
          <w:lang w:eastAsia="en-CA"/>
        </w:rPr>
        <w:t xml:space="preserve"> </w:t>
      </w:r>
      <w:r w:rsidRPr="00432F4C">
        <w:rPr>
          <w:rFonts w:ascii="Arial" w:eastAsia="Times New Roman" w:hAnsi="Arial" w:cs="Arial"/>
          <w:color w:val="000000"/>
          <w:lang w:eastAsia="en-CA"/>
        </w:rPr>
        <w:t>Despite the decreased hard costs associated with the innovative technology, there is a trade-off with the higher costs of electricity and higher upfront capital costs for energy storage systems.</w:t>
      </w:r>
      <w:r w:rsidR="005D21C6">
        <w:rPr>
          <w:rStyle w:val="EndnoteReference"/>
          <w:rFonts w:ascii="Arial" w:eastAsia="Times New Roman" w:hAnsi="Arial" w:cs="Arial"/>
          <w:color w:val="000000"/>
          <w:lang w:eastAsia="en-CA"/>
        </w:rPr>
        <w:endnoteReference w:id="67"/>
      </w:r>
      <w:r w:rsidRPr="00432F4C">
        <w:rPr>
          <w:rFonts w:ascii="Arial" w:eastAsia="Times New Roman" w:hAnsi="Arial" w:cs="Arial"/>
          <w:color w:val="000000"/>
          <w:lang w:eastAsia="en-CA"/>
        </w:rPr>
        <w:t xml:space="preserve">  </w:t>
      </w:r>
    </w:p>
    <w:p w14:paraId="7C1406F4" w14:textId="77777777" w:rsidR="00432F4C" w:rsidRDefault="00432F4C" w:rsidP="003E384A">
      <w:pPr>
        <w:spacing w:after="0" w:line="276" w:lineRule="auto"/>
        <w:ind w:firstLine="720"/>
        <w:jc w:val="both"/>
        <w:rPr>
          <w:rFonts w:ascii="Arial" w:eastAsia="Times New Roman" w:hAnsi="Arial" w:cs="Arial"/>
          <w:color w:val="000000"/>
          <w:lang w:eastAsia="en-CA"/>
        </w:rPr>
      </w:pPr>
    </w:p>
    <w:p w14:paraId="5408BB6C" w14:textId="6F2AA3BD" w:rsidR="00432F4C" w:rsidRPr="00432F4C" w:rsidRDefault="00432F4C" w:rsidP="003E384A">
      <w:pPr>
        <w:spacing w:after="0" w:line="276" w:lineRule="auto"/>
        <w:jc w:val="both"/>
        <w:rPr>
          <w:rFonts w:ascii="Times New Roman" w:eastAsia="Times New Roman" w:hAnsi="Times New Roman" w:cs="Times New Roman"/>
          <w:i/>
          <w:iCs/>
          <w:color w:val="345A8A"/>
          <w:sz w:val="28"/>
          <w:szCs w:val="28"/>
          <w:lang w:eastAsia="en-CA"/>
        </w:rPr>
      </w:pPr>
      <w:r>
        <w:rPr>
          <w:rFonts w:ascii="Arial" w:eastAsia="Times New Roman" w:hAnsi="Arial" w:cs="Arial"/>
          <w:b/>
          <w:bCs/>
          <w:i/>
          <w:iCs/>
          <w:color w:val="345A8A"/>
          <w:sz w:val="28"/>
          <w:szCs w:val="28"/>
          <w:lang w:eastAsia="en-CA"/>
        </w:rPr>
        <w:lastRenderedPageBreak/>
        <w:t>Risk #3: The lack of incentive to use energy storage</w:t>
      </w:r>
    </w:p>
    <w:p w14:paraId="36E394F0" w14:textId="43A67167" w:rsidR="00432F4C" w:rsidRDefault="00432F4C" w:rsidP="003E384A">
      <w:pPr>
        <w:spacing w:after="0" w:line="276" w:lineRule="auto"/>
        <w:ind w:firstLine="720"/>
        <w:jc w:val="both"/>
        <w:rPr>
          <w:rFonts w:ascii="Arial" w:eastAsia="Times New Roman" w:hAnsi="Arial" w:cs="Arial"/>
          <w:color w:val="000000"/>
          <w:lang w:eastAsia="en-CA"/>
        </w:rPr>
      </w:pPr>
      <w:r w:rsidRPr="00432F4C">
        <w:rPr>
          <w:rFonts w:ascii="Arial" w:eastAsia="Times New Roman" w:hAnsi="Arial" w:cs="Arial"/>
          <w:color w:val="000000"/>
          <w:lang w:eastAsia="en-CA"/>
        </w:rPr>
        <w:t>As a result of California utilities often being shut off to avoid the creation of wildfires, many citizens lose their power for hours and sometimes days.</w:t>
      </w:r>
      <w:r w:rsidR="005D21C6">
        <w:rPr>
          <w:rStyle w:val="EndnoteReference"/>
          <w:rFonts w:ascii="Arial" w:eastAsia="Times New Roman" w:hAnsi="Arial" w:cs="Arial"/>
          <w:color w:val="000000"/>
          <w:lang w:eastAsia="en-CA"/>
        </w:rPr>
        <w:endnoteReference w:id="68"/>
      </w:r>
      <w:r w:rsidR="005D21C6">
        <w:rPr>
          <w:rFonts w:ascii="Arial" w:eastAsia="Times New Roman" w:hAnsi="Arial" w:cs="Arial"/>
          <w:color w:val="000000"/>
          <w:lang w:eastAsia="en-CA"/>
        </w:rPr>
        <w:t xml:space="preserve"> </w:t>
      </w:r>
      <w:r w:rsidRPr="00432F4C">
        <w:rPr>
          <w:rFonts w:ascii="Arial" w:eastAsia="Times New Roman" w:hAnsi="Arial" w:cs="Arial"/>
          <w:color w:val="000000"/>
          <w:lang w:eastAsia="en-CA"/>
        </w:rPr>
        <w:t>For those in low-income communities and the medically vulnerable who rely on electrical medical assistance devices, this poses a major risk.</w:t>
      </w:r>
      <w:r w:rsidR="005D21C6">
        <w:rPr>
          <w:rStyle w:val="EndnoteReference"/>
          <w:rFonts w:ascii="Arial" w:eastAsia="Times New Roman" w:hAnsi="Arial" w:cs="Arial"/>
          <w:color w:val="000000"/>
          <w:lang w:eastAsia="en-CA"/>
        </w:rPr>
        <w:endnoteReference w:id="69"/>
      </w:r>
      <w:r w:rsidR="005D21C6">
        <w:rPr>
          <w:rFonts w:ascii="Arial" w:eastAsia="Times New Roman" w:hAnsi="Arial" w:cs="Arial"/>
          <w:color w:val="000000"/>
          <w:lang w:eastAsia="en-CA"/>
        </w:rPr>
        <w:t xml:space="preserve"> </w:t>
      </w:r>
      <w:r w:rsidRPr="00432F4C">
        <w:rPr>
          <w:rFonts w:ascii="Arial" w:eastAsia="Times New Roman" w:hAnsi="Arial" w:cs="Arial"/>
          <w:color w:val="000000"/>
          <w:lang w:eastAsia="en-CA"/>
        </w:rPr>
        <w:t>Energy storage systems can be utilized in times of power outages and can help reduce the disproportionate impacts of power outages. Currently, in many states, market rules prohibit the use of and monetization of the value of energy storage systems which adversely impacts the use of energy storage systems.</w:t>
      </w:r>
      <w:r w:rsidR="005D21C6">
        <w:rPr>
          <w:rStyle w:val="EndnoteReference"/>
          <w:rFonts w:ascii="Arial" w:eastAsia="Times New Roman" w:hAnsi="Arial" w:cs="Arial"/>
          <w:color w:val="000000"/>
          <w:lang w:eastAsia="en-CA"/>
        </w:rPr>
        <w:endnoteReference w:id="70"/>
      </w:r>
      <w:r w:rsidR="005D21C6">
        <w:rPr>
          <w:rFonts w:ascii="Arial" w:eastAsia="Times New Roman" w:hAnsi="Arial" w:cs="Arial"/>
          <w:color w:val="000000"/>
          <w:lang w:eastAsia="en-CA"/>
        </w:rPr>
        <w:t xml:space="preserve"> </w:t>
      </w:r>
      <w:r w:rsidRPr="00432F4C">
        <w:rPr>
          <w:rFonts w:ascii="Arial" w:eastAsia="Times New Roman" w:hAnsi="Arial" w:cs="Arial"/>
          <w:color w:val="000000"/>
          <w:lang w:eastAsia="en-CA"/>
        </w:rPr>
        <w:t>Based on the cost-benefit analysis done by the Government of Massachusetts, New York, and Nevada, it was determined that the energy storage market can highly benefit customers and the overall electric system.</w:t>
      </w:r>
      <w:r w:rsidR="005D21C6">
        <w:rPr>
          <w:rStyle w:val="EndnoteReference"/>
          <w:rFonts w:ascii="Arial" w:eastAsia="Times New Roman" w:hAnsi="Arial" w:cs="Arial"/>
          <w:color w:val="000000"/>
          <w:lang w:eastAsia="en-CA"/>
        </w:rPr>
        <w:endnoteReference w:id="71"/>
      </w:r>
    </w:p>
    <w:p w14:paraId="35A423C2" w14:textId="77777777" w:rsidR="002C18FF" w:rsidRDefault="002C18FF" w:rsidP="003E384A">
      <w:pPr>
        <w:spacing w:after="0" w:line="276" w:lineRule="auto"/>
        <w:jc w:val="both"/>
        <w:rPr>
          <w:rFonts w:ascii="Arial" w:eastAsia="Times New Roman" w:hAnsi="Arial" w:cs="Arial"/>
          <w:b/>
          <w:bCs/>
          <w:sz w:val="28"/>
          <w:szCs w:val="28"/>
          <w:lang w:eastAsia="en-CA"/>
        </w:rPr>
      </w:pPr>
    </w:p>
    <w:p w14:paraId="53D57B66" w14:textId="582DF3A4" w:rsidR="00432F4C" w:rsidRDefault="00432F4C" w:rsidP="003E384A">
      <w:pPr>
        <w:spacing w:after="0" w:line="276" w:lineRule="auto"/>
        <w:jc w:val="both"/>
        <w:rPr>
          <w:rFonts w:ascii="Arial" w:eastAsia="Times New Roman" w:hAnsi="Arial" w:cs="Arial"/>
          <w:b/>
          <w:bCs/>
          <w:sz w:val="28"/>
          <w:szCs w:val="28"/>
          <w:lang w:eastAsia="en-CA"/>
        </w:rPr>
      </w:pPr>
      <w:r>
        <w:rPr>
          <w:rFonts w:ascii="Arial" w:eastAsia="Times New Roman" w:hAnsi="Arial" w:cs="Arial"/>
          <w:b/>
          <w:bCs/>
          <w:sz w:val="28"/>
          <w:szCs w:val="28"/>
          <w:lang w:eastAsia="en-CA"/>
        </w:rPr>
        <w:t>Mitigations</w:t>
      </w:r>
    </w:p>
    <w:p w14:paraId="6D0795E4" w14:textId="35504E24" w:rsidR="00432F4C" w:rsidRPr="00432F4C" w:rsidRDefault="00432F4C" w:rsidP="003E384A">
      <w:pPr>
        <w:spacing w:after="0" w:line="276" w:lineRule="auto"/>
        <w:jc w:val="both"/>
        <w:rPr>
          <w:rFonts w:ascii="Arial" w:eastAsia="Times New Roman" w:hAnsi="Arial" w:cs="Arial"/>
          <w:b/>
          <w:bCs/>
          <w:i/>
          <w:iCs/>
          <w:color w:val="345A8A"/>
          <w:sz w:val="28"/>
          <w:szCs w:val="28"/>
          <w:lang w:eastAsia="en-CA"/>
        </w:rPr>
      </w:pPr>
      <w:r>
        <w:rPr>
          <w:rFonts w:ascii="Arial" w:eastAsia="Times New Roman" w:hAnsi="Arial" w:cs="Arial"/>
          <w:b/>
          <w:bCs/>
          <w:i/>
          <w:iCs/>
          <w:color w:val="345A8A"/>
          <w:sz w:val="28"/>
          <w:szCs w:val="28"/>
          <w:lang w:eastAsia="en-CA"/>
        </w:rPr>
        <w:t>Mitigation strategy for Risk #1</w:t>
      </w:r>
    </w:p>
    <w:p w14:paraId="7C1B1FEC" w14:textId="2580C245" w:rsidR="00432F4C" w:rsidRPr="00432F4C" w:rsidRDefault="00126ED0" w:rsidP="003E384A">
      <w:pPr>
        <w:spacing w:after="0" w:line="276" w:lineRule="auto"/>
        <w:ind w:firstLine="720"/>
        <w:jc w:val="both"/>
        <w:rPr>
          <w:rFonts w:ascii="Arial" w:eastAsia="Times New Roman" w:hAnsi="Arial" w:cs="Arial"/>
          <w:color w:val="000000"/>
          <w:lang w:eastAsia="en-CA"/>
        </w:rPr>
      </w:pPr>
      <w:r>
        <w:rPr>
          <w:noProof/>
        </w:rPr>
        <mc:AlternateContent>
          <mc:Choice Requires="wps">
            <w:drawing>
              <wp:anchor distT="0" distB="0" distL="114300" distR="114300" simplePos="0" relativeHeight="251658252" behindDoc="0" locked="0" layoutInCell="1" allowOverlap="1" wp14:anchorId="516A1878" wp14:editId="5DA4C9F1">
                <wp:simplePos x="0" y="0"/>
                <wp:positionH relativeFrom="column">
                  <wp:posOffset>3689722</wp:posOffset>
                </wp:positionH>
                <wp:positionV relativeFrom="paragraph">
                  <wp:posOffset>1970099</wp:posOffset>
                </wp:positionV>
                <wp:extent cx="3433445" cy="1651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433445" cy="165100"/>
                        </a:xfrm>
                        <a:prstGeom prst="rect">
                          <a:avLst/>
                        </a:prstGeom>
                        <a:solidFill>
                          <a:prstClr val="white"/>
                        </a:solidFill>
                        <a:ln>
                          <a:noFill/>
                        </a:ln>
                      </wps:spPr>
                      <wps:txbx>
                        <w:txbxContent>
                          <w:p w14:paraId="0580B0B4" w14:textId="71F21ED2" w:rsidR="002C18FF" w:rsidRPr="00AA5F6D" w:rsidRDefault="002C18FF" w:rsidP="002C18FF">
                            <w:pPr>
                              <w:pStyle w:val="Caption"/>
                              <w:jc w:val="center"/>
                              <w:rPr>
                                <w:rFonts w:ascii="Times New Roman" w:eastAsia="Times New Roman" w:hAnsi="Times New Roman" w:cs="Times New Roman"/>
                                <w:noProof/>
                                <w:sz w:val="24"/>
                                <w:szCs w:val="24"/>
                              </w:rPr>
                            </w:pPr>
                            <w:r>
                              <w:t xml:space="preserve">Figure </w:t>
                            </w:r>
                            <w:r w:rsidR="00102B9C">
                              <w:t>8</w:t>
                            </w:r>
                            <w:r>
                              <w:t>:</w:t>
                            </w:r>
                            <w:r>
                              <w:rPr>
                                <w:noProof/>
                              </w:rPr>
                              <w:t xml:space="preserve"> </w:t>
                            </w:r>
                            <w:r w:rsidR="00102B9C">
                              <w:rPr>
                                <w:noProof/>
                              </w:rPr>
                              <w:t>CESA Market Development Forum Advertisement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A1878" id="Text Box 20" o:spid="_x0000_s1033" type="#_x0000_t202" style="position:absolute;left:0;text-align:left;margin-left:290.55pt;margin-top:155.15pt;width:270.35pt;height:1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" stroked="f">
                <v:textbox inset="0,0,0,0">
                  <w:txbxContent>
                    <w:p w14:paraId="0580B0B4" w14:textId="71F21ED2" w:rsidR="002C18FF" w:rsidRPr="00AA5F6D" w:rsidRDefault="002C18FF" w:rsidP="002C18FF">
                      <w:pPr>
                        <w:pStyle w:val="Caption"/>
                        <w:jc w:val="center"/>
                        <w:rPr>
                          <w:rFonts w:ascii="Times New Roman" w:eastAsia="Times New Roman" w:hAnsi="Times New Roman" w:cs="Times New Roman"/>
                          <w:noProof/>
                          <w:sz w:val="24"/>
                          <w:szCs w:val="24"/>
                        </w:rPr>
                      </w:pPr>
                      <w:r>
                        <w:t xml:space="preserve">Figure </w:t>
                      </w:r>
                      <w:r w:rsidR="00102B9C">
                        <w:t>8</w:t>
                      </w:r>
                      <w:r>
                        <w:t>:</w:t>
                      </w:r>
                      <w:r>
                        <w:rPr>
                          <w:noProof/>
                        </w:rPr>
                        <w:t xml:space="preserve"> </w:t>
                      </w:r>
                      <w:r w:rsidR="00102B9C">
                        <w:rPr>
                          <w:noProof/>
                        </w:rPr>
                        <w:t>CESA Market Development Forum Advertisement</w:t>
                      </w:r>
                    </w:p>
                  </w:txbxContent>
                </v:textbox>
                <w10:wrap type="square"/>
              </v:shape>
            </w:pict>
          </mc:Fallback>
        </mc:AlternateContent>
      </w:r>
      <w:r w:rsidRPr="002C18FF">
        <w:rPr>
          <w:rFonts w:ascii="Times New Roman" w:eastAsia="Times New Roman" w:hAnsi="Times New Roman" w:cs="Times New Roman"/>
          <w:noProof/>
          <w:sz w:val="24"/>
          <w:szCs w:val="24"/>
          <w:lang w:bidi="he-IL"/>
        </w:rPr>
        <w:drawing>
          <wp:anchor distT="0" distB="0" distL="0" distR="0" simplePos="0" relativeHeight="251658255" behindDoc="0" locked="0" layoutInCell="1" allowOverlap="1" wp14:anchorId="164D58D3" wp14:editId="305C431C">
            <wp:simplePos x="0" y="0"/>
            <wp:positionH relativeFrom="column">
              <wp:posOffset>3687445</wp:posOffset>
            </wp:positionH>
            <wp:positionV relativeFrom="paragraph">
              <wp:posOffset>145583</wp:posOffset>
            </wp:positionV>
            <wp:extent cx="3398400" cy="1782000"/>
            <wp:effectExtent l="0" t="0" r="5715" b="0"/>
            <wp:wrapSquare wrapText="bothSides"/>
            <wp:docPr id="19" name="Picture 19" descr="California Energy Storage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lifornia Energy Storage Alli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8400" cy="178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F4C" w:rsidRPr="00432F4C">
        <w:rPr>
          <w:rFonts w:ascii="Arial" w:eastAsia="Times New Roman" w:hAnsi="Arial" w:cs="Arial"/>
          <w:color w:val="000000"/>
          <w:lang w:eastAsia="en-CA"/>
        </w:rPr>
        <w:t>To mitigate the issue of the lack of state policies in place regarding energy storage, this section is informed by the creation of California’s energy storage policies. State governments should work alongside the Energy Storage Association (ESA) to help create policies best suited for their state. The ESA works to develop cost-benefit analysis looking at the various options for energy storage specifically relating to the state along with creating deployment strategies, incentive programs and business models.</w:t>
      </w:r>
      <w:r w:rsidR="00B741DD">
        <w:rPr>
          <w:rStyle w:val="EndnoteReference"/>
          <w:rFonts w:ascii="Arial" w:eastAsia="Times New Roman" w:hAnsi="Arial" w:cs="Arial"/>
          <w:color w:val="000000"/>
          <w:lang w:eastAsia="en-CA"/>
        </w:rPr>
        <w:endnoteReference w:id="72"/>
      </w:r>
      <w:r w:rsidR="00432F4C" w:rsidRPr="00432F4C">
        <w:rPr>
          <w:rFonts w:ascii="Arial" w:eastAsia="Times New Roman" w:hAnsi="Arial" w:cs="Arial"/>
          <w:color w:val="000000"/>
          <w:lang w:eastAsia="en-CA"/>
        </w:rPr>
        <w:t xml:space="preserve">  Additionally, states should refer to the Government of California’s policies in place as precedent to inform their creation of policies. California, a major state paving the way in the policy realm of energy storage, was the first state to create an energy storage target using a major bill known as Bill 2514, approved in September 2010.</w:t>
      </w:r>
      <w:r>
        <w:rPr>
          <w:rStyle w:val="EndnoteReference"/>
          <w:rFonts w:ascii="Arial" w:eastAsia="Times New Roman" w:hAnsi="Arial" w:cs="Arial"/>
          <w:color w:val="000000"/>
          <w:lang w:eastAsia="en-CA"/>
        </w:rPr>
        <w:endnoteReference w:id="73"/>
      </w:r>
      <w:r w:rsidR="00432F4C" w:rsidRPr="00432F4C">
        <w:rPr>
          <w:rFonts w:ascii="Arial" w:eastAsia="Times New Roman" w:hAnsi="Arial" w:cs="Arial"/>
          <w:color w:val="000000"/>
          <w:lang w:eastAsia="en-CA"/>
        </w:rPr>
        <w:t xml:space="preserve">  As a call to action, this bill began changing the energy sector by calling upon the CPUC to expand the use of energy storage systems on the electricity grid.</w:t>
      </w:r>
      <w:r>
        <w:rPr>
          <w:rStyle w:val="EndnoteReference"/>
          <w:rFonts w:ascii="Arial" w:eastAsia="Times New Roman" w:hAnsi="Arial" w:cs="Arial"/>
          <w:color w:val="000000"/>
          <w:lang w:eastAsia="en-CA"/>
        </w:rPr>
        <w:endnoteReference w:id="74"/>
      </w:r>
      <w:r>
        <w:rPr>
          <w:rFonts w:ascii="Arial" w:eastAsia="Times New Roman" w:hAnsi="Arial" w:cs="Arial"/>
          <w:color w:val="000000"/>
          <w:lang w:eastAsia="en-CA"/>
        </w:rPr>
        <w:t xml:space="preserve"> </w:t>
      </w:r>
      <w:r w:rsidR="00432F4C" w:rsidRPr="00432F4C">
        <w:rPr>
          <w:rFonts w:ascii="Arial" w:eastAsia="Times New Roman" w:hAnsi="Arial" w:cs="Arial"/>
          <w:color w:val="000000"/>
          <w:lang w:eastAsia="en-CA"/>
        </w:rPr>
        <w:t>This requires the governing boards of all public-owned utilities to set energy storage goals to be reviewed every three years.</w:t>
      </w:r>
      <w:r>
        <w:rPr>
          <w:rStyle w:val="EndnoteReference"/>
          <w:rFonts w:ascii="Arial" w:eastAsia="Times New Roman" w:hAnsi="Arial" w:cs="Arial"/>
          <w:color w:val="000000"/>
          <w:lang w:eastAsia="en-CA"/>
        </w:rPr>
        <w:endnoteReference w:id="75"/>
      </w:r>
      <w:r w:rsidR="00432F4C" w:rsidRPr="00432F4C">
        <w:rPr>
          <w:rFonts w:ascii="Arial" w:eastAsia="Times New Roman" w:hAnsi="Arial" w:cs="Arial"/>
          <w:color w:val="000000"/>
          <w:lang w:eastAsia="en-CA"/>
        </w:rPr>
        <w:t xml:space="preserve"> For the three major investor-owned utilities of California, including PG&amp;E, this bill set the target of 1,325 MW of energy storage by 2020.</w:t>
      </w:r>
      <w:r>
        <w:rPr>
          <w:rStyle w:val="EndnoteReference"/>
          <w:rFonts w:ascii="Arial" w:eastAsia="Times New Roman" w:hAnsi="Arial" w:cs="Arial"/>
          <w:color w:val="000000"/>
          <w:lang w:eastAsia="en-CA"/>
        </w:rPr>
        <w:endnoteReference w:id="76"/>
      </w:r>
      <w:r>
        <w:rPr>
          <w:rFonts w:ascii="Arial" w:eastAsia="Times New Roman" w:hAnsi="Arial" w:cs="Arial"/>
          <w:color w:val="000000"/>
          <w:lang w:eastAsia="en-CA"/>
        </w:rPr>
        <w:t xml:space="preserve"> </w:t>
      </w:r>
      <w:r w:rsidR="00432F4C" w:rsidRPr="00432F4C">
        <w:rPr>
          <w:rFonts w:ascii="Arial" w:eastAsia="Times New Roman" w:hAnsi="Arial" w:cs="Arial"/>
          <w:color w:val="000000"/>
          <w:lang w:eastAsia="en-CA"/>
        </w:rPr>
        <w:t xml:space="preserve">By 2016, California had extended its energy storage systems goals by passing four additional bills. Bill 2868 </w:t>
      </w:r>
      <w:r w:rsidR="00432F4C" w:rsidRPr="00432F4C">
        <w:rPr>
          <w:rFonts w:ascii="Arial" w:eastAsia="Times New Roman" w:hAnsi="Arial" w:cs="Arial"/>
          <w:color w:val="000000"/>
          <w:lang w:eastAsia="en-CA"/>
        </w:rPr>
        <w:t>was passed sets new goals for 2024 for the three of California’s investor-owned electric utilities.</w:t>
      </w:r>
      <w:r>
        <w:rPr>
          <w:rStyle w:val="EndnoteReference"/>
          <w:rFonts w:ascii="Arial" w:eastAsia="Times New Roman" w:hAnsi="Arial" w:cs="Arial"/>
          <w:color w:val="000000"/>
          <w:lang w:eastAsia="en-CA"/>
        </w:rPr>
        <w:endnoteReference w:id="77"/>
      </w:r>
      <w:r>
        <w:rPr>
          <w:rFonts w:ascii="Arial" w:eastAsia="Times New Roman" w:hAnsi="Arial" w:cs="Arial"/>
          <w:color w:val="000000"/>
          <w:lang w:eastAsia="en-CA"/>
        </w:rPr>
        <w:t xml:space="preserve"> </w:t>
      </w:r>
      <w:r w:rsidR="00432F4C" w:rsidRPr="00432F4C">
        <w:rPr>
          <w:rFonts w:ascii="Arial" w:eastAsia="Times New Roman" w:hAnsi="Arial" w:cs="Arial"/>
          <w:color w:val="000000"/>
          <w:lang w:eastAsia="en-CA"/>
        </w:rPr>
        <w:t>The various other policies introduced in 2016 include AB 1637, AB 2861, and AB33, which all work to expand the use of energy storage systems.</w:t>
      </w:r>
      <w:r>
        <w:rPr>
          <w:rStyle w:val="EndnoteReference"/>
          <w:rFonts w:ascii="Arial" w:eastAsia="Times New Roman" w:hAnsi="Arial" w:cs="Arial"/>
          <w:color w:val="000000"/>
          <w:lang w:eastAsia="en-CA"/>
        </w:rPr>
        <w:endnoteReference w:id="78"/>
      </w:r>
      <w:r>
        <w:rPr>
          <w:rFonts w:ascii="Arial" w:eastAsia="Times New Roman" w:hAnsi="Arial" w:cs="Arial"/>
          <w:color w:val="000000"/>
          <w:lang w:eastAsia="en-CA"/>
        </w:rPr>
        <w:t xml:space="preserve"> </w:t>
      </w:r>
      <w:r w:rsidR="00432F4C" w:rsidRPr="00432F4C">
        <w:rPr>
          <w:rFonts w:ascii="Arial" w:eastAsia="Times New Roman" w:hAnsi="Arial" w:cs="Arial"/>
          <w:color w:val="000000"/>
          <w:lang w:eastAsia="en-CA"/>
        </w:rPr>
        <w:t xml:space="preserve">Therefore, to mitigate the risk of a lack of policies in place in states, by utilizing the insights of the ESA and using the experiences of California, governments can create policies that reflect their state’s context regarding energy storage systems. </w:t>
      </w:r>
    </w:p>
    <w:p w14:paraId="6564B4F1" w14:textId="138F1F05" w:rsidR="00432F4C" w:rsidRPr="00126ED0" w:rsidRDefault="00432F4C" w:rsidP="00126ED0">
      <w:pPr>
        <w:spacing w:after="0" w:line="276" w:lineRule="auto"/>
        <w:ind w:firstLine="720"/>
        <w:jc w:val="both"/>
        <w:rPr>
          <w:rFonts w:ascii="Arial" w:eastAsia="Times New Roman" w:hAnsi="Arial" w:cs="Arial"/>
          <w:color w:val="000000"/>
          <w:lang w:eastAsia="en-CA"/>
        </w:rPr>
      </w:pPr>
      <w:r w:rsidRPr="00432F4C">
        <w:rPr>
          <w:rFonts w:ascii="Arial" w:eastAsia="Times New Roman" w:hAnsi="Arial" w:cs="Arial"/>
          <w:color w:val="000000"/>
          <w:lang w:eastAsia="en-CA"/>
        </w:rPr>
        <w:t>The government works alongside PG&amp;E on the federal, state and local levels concerning energy storage policies.</w:t>
      </w:r>
      <w:r w:rsidR="00126ED0">
        <w:rPr>
          <w:rStyle w:val="EndnoteReference"/>
          <w:rFonts w:ascii="Arial" w:eastAsia="Times New Roman" w:hAnsi="Arial" w:cs="Arial"/>
          <w:color w:val="000000"/>
          <w:lang w:eastAsia="en-CA"/>
        </w:rPr>
        <w:endnoteReference w:id="79"/>
      </w:r>
      <w:r w:rsidR="00126ED0">
        <w:rPr>
          <w:rFonts w:ascii="Arial" w:eastAsia="Times New Roman" w:hAnsi="Arial" w:cs="Arial"/>
          <w:color w:val="000000"/>
          <w:lang w:eastAsia="en-CA"/>
        </w:rPr>
        <w:t xml:space="preserve"> </w:t>
      </w:r>
      <w:r w:rsidRPr="00432F4C">
        <w:rPr>
          <w:rFonts w:ascii="Arial" w:eastAsia="Times New Roman" w:hAnsi="Arial" w:cs="Arial"/>
          <w:color w:val="000000"/>
          <w:lang w:eastAsia="en-CA"/>
        </w:rPr>
        <w:t>As a California-based company, the Sustainability and Governance Committee of the PG&amp;E Corporation Board of Directors completes research and advisory reports to assist and inform the Board of Public Policy and how it relates to the interests of the company, consumers and stakeholders.</w:t>
      </w:r>
      <w:r w:rsidR="00126ED0">
        <w:rPr>
          <w:rStyle w:val="EndnoteReference"/>
          <w:rFonts w:ascii="Arial" w:eastAsia="Times New Roman" w:hAnsi="Arial" w:cs="Arial"/>
          <w:color w:val="000000"/>
          <w:lang w:eastAsia="en-CA"/>
        </w:rPr>
        <w:endnoteReference w:id="80"/>
      </w:r>
      <w:r w:rsidR="00126ED0">
        <w:rPr>
          <w:rFonts w:ascii="Arial" w:eastAsia="Times New Roman" w:hAnsi="Arial" w:cs="Arial"/>
          <w:color w:val="000000"/>
          <w:lang w:eastAsia="en-CA"/>
        </w:rPr>
        <w:t xml:space="preserve"> </w:t>
      </w:r>
      <w:r w:rsidRPr="00432F4C">
        <w:rPr>
          <w:rFonts w:ascii="Arial" w:eastAsia="Times New Roman" w:hAnsi="Arial" w:cs="Arial"/>
          <w:color w:val="000000"/>
          <w:lang w:eastAsia="en-CA"/>
        </w:rPr>
        <w:t>PG&amp;E’s Public Policy Committee of the Board looks specifically at both federal and state lobbying efforts to create policies that reflect the c</w:t>
      </w:r>
      <w:r w:rsidR="00126ED0" w:rsidRPr="002C18FF">
        <w:rPr>
          <w:rFonts w:ascii="Times New Roman" w:eastAsia="Times New Roman" w:hAnsi="Times New Roman" w:cs="Times New Roman"/>
          <w:sz w:val="24"/>
          <w:szCs w:val="24"/>
          <w:lang w:bidi="he-IL"/>
        </w:rPr>
        <w:fldChar w:fldCharType="begin"/>
      </w:r>
      <w:r w:rsidR="00126ED0" w:rsidRPr="002C18FF">
        <w:rPr>
          <w:rFonts w:ascii="Times New Roman" w:eastAsia="Times New Roman" w:hAnsi="Times New Roman" w:cs="Times New Roman"/>
          <w:sz w:val="24"/>
          <w:szCs w:val="24"/>
          <w:lang w:bidi="he-IL"/>
        </w:rPr>
        <w:instrText xml:space="preserve"> INCLUDEPICTURE "/var/folders/fs/jhtxr97s5tj944xtp_h6z32w0000gn/T/com.microsoft.Word/WebArchiveCopyPasteTempFiles/MicrosoftTeams-image+%287%29.png?format=750w" \* MERGEFORMATINET </w:instrText>
      </w:r>
      <w:r w:rsidR="00000000">
        <w:rPr>
          <w:rFonts w:ascii="Times New Roman" w:eastAsia="Times New Roman" w:hAnsi="Times New Roman" w:cs="Times New Roman"/>
          <w:sz w:val="24"/>
          <w:szCs w:val="24"/>
          <w:lang w:bidi="he-IL"/>
        </w:rPr>
        <w:fldChar w:fldCharType="separate"/>
      </w:r>
      <w:r w:rsidR="00126ED0" w:rsidRPr="002C18FF">
        <w:rPr>
          <w:rFonts w:ascii="Times New Roman" w:eastAsia="Times New Roman" w:hAnsi="Times New Roman" w:cs="Times New Roman"/>
          <w:sz w:val="24"/>
          <w:szCs w:val="24"/>
          <w:lang w:bidi="he-IL"/>
        </w:rPr>
        <w:fldChar w:fldCharType="end"/>
      </w:r>
      <w:r w:rsidRPr="00432F4C">
        <w:rPr>
          <w:rFonts w:ascii="Arial" w:eastAsia="Times New Roman" w:hAnsi="Arial" w:cs="Arial"/>
          <w:color w:val="000000"/>
          <w:lang w:eastAsia="en-CA"/>
        </w:rPr>
        <w:t>oncerns of the company and the overall population.</w:t>
      </w:r>
      <w:r w:rsidR="00126ED0">
        <w:rPr>
          <w:rStyle w:val="EndnoteReference"/>
          <w:rFonts w:ascii="Arial" w:eastAsia="Times New Roman" w:hAnsi="Arial" w:cs="Arial"/>
          <w:color w:val="000000"/>
          <w:lang w:eastAsia="en-CA"/>
        </w:rPr>
        <w:endnoteReference w:id="81"/>
      </w:r>
      <w:r w:rsidR="00126ED0">
        <w:rPr>
          <w:rFonts w:ascii="Arial" w:eastAsia="Times New Roman" w:hAnsi="Arial" w:cs="Arial"/>
          <w:color w:val="000000"/>
          <w:lang w:eastAsia="en-CA"/>
        </w:rPr>
        <w:t xml:space="preserve"> </w:t>
      </w:r>
      <w:r w:rsidRPr="00432F4C">
        <w:rPr>
          <w:rFonts w:ascii="Arial" w:eastAsia="Times New Roman" w:hAnsi="Arial" w:cs="Arial"/>
          <w:color w:val="000000"/>
          <w:lang w:eastAsia="en-CA"/>
        </w:rPr>
        <w:t xml:space="preserve">Ultimately, PG&amp;E have a variety of measures in place to address changes in energy storage policies.  </w:t>
      </w:r>
    </w:p>
    <w:p w14:paraId="0E10D4C9" w14:textId="637E7144" w:rsidR="00432F4C" w:rsidRPr="00432F4C" w:rsidRDefault="00432F4C" w:rsidP="003E384A">
      <w:pPr>
        <w:spacing w:after="0" w:line="276" w:lineRule="auto"/>
        <w:jc w:val="both"/>
        <w:rPr>
          <w:rFonts w:ascii="Arial" w:eastAsia="Times New Roman" w:hAnsi="Arial" w:cs="Arial"/>
          <w:b/>
          <w:bCs/>
          <w:i/>
          <w:iCs/>
          <w:color w:val="345A8A"/>
          <w:sz w:val="28"/>
          <w:szCs w:val="28"/>
          <w:lang w:eastAsia="en-CA"/>
        </w:rPr>
      </w:pPr>
      <w:r>
        <w:rPr>
          <w:rFonts w:ascii="Arial" w:eastAsia="Times New Roman" w:hAnsi="Arial" w:cs="Arial"/>
          <w:b/>
          <w:bCs/>
          <w:i/>
          <w:iCs/>
          <w:color w:val="345A8A"/>
          <w:sz w:val="28"/>
          <w:szCs w:val="28"/>
          <w:lang w:eastAsia="en-CA"/>
        </w:rPr>
        <w:t>Mitigation strategy for Risk #2</w:t>
      </w:r>
    </w:p>
    <w:p w14:paraId="6BC33EDB" w14:textId="15A94114" w:rsidR="00432F4C" w:rsidRPr="00432F4C" w:rsidRDefault="00432F4C" w:rsidP="003E384A">
      <w:pPr>
        <w:spacing w:after="0" w:line="276" w:lineRule="auto"/>
        <w:ind w:firstLine="720"/>
        <w:jc w:val="both"/>
        <w:rPr>
          <w:rFonts w:ascii="Arial" w:eastAsia="Times New Roman" w:hAnsi="Arial" w:cs="Arial"/>
          <w:color w:val="000000"/>
          <w:lang w:eastAsia="en-CA"/>
        </w:rPr>
      </w:pPr>
      <w:r w:rsidRPr="00432F4C">
        <w:rPr>
          <w:rFonts w:ascii="Arial" w:eastAsia="Times New Roman" w:hAnsi="Arial" w:cs="Arial"/>
          <w:color w:val="000000"/>
          <w:lang w:eastAsia="en-CA"/>
        </w:rPr>
        <w:t>Despite the recognition that there is a high upfront cost, the energy storage global market is expected to be worth over $100 billion by 2024.</w:t>
      </w:r>
      <w:r w:rsidR="00126ED0">
        <w:rPr>
          <w:rStyle w:val="EndnoteReference"/>
          <w:rFonts w:ascii="Arial" w:eastAsia="Times New Roman" w:hAnsi="Arial" w:cs="Arial"/>
          <w:color w:val="000000"/>
          <w:lang w:eastAsia="en-CA"/>
        </w:rPr>
        <w:endnoteReference w:id="82"/>
      </w:r>
      <w:r w:rsidRPr="00432F4C">
        <w:rPr>
          <w:rFonts w:ascii="Arial" w:eastAsia="Times New Roman" w:hAnsi="Arial" w:cs="Arial"/>
          <w:color w:val="000000"/>
          <w:lang w:eastAsia="en-CA"/>
        </w:rPr>
        <w:t xml:space="preserve"> Firstly, there are a variety of different organizations continually working to decrease the costs of energy storage systems such as the Department of Energy that have partnered with other 26 academic institutions and 43 industry partners.</w:t>
      </w:r>
      <w:r w:rsidR="00126ED0">
        <w:rPr>
          <w:rStyle w:val="EndnoteReference"/>
          <w:rFonts w:ascii="Arial" w:eastAsia="Times New Roman" w:hAnsi="Arial" w:cs="Arial"/>
          <w:color w:val="000000"/>
          <w:lang w:eastAsia="en-CA"/>
        </w:rPr>
        <w:endnoteReference w:id="83"/>
      </w:r>
      <w:r w:rsidR="00126ED0">
        <w:rPr>
          <w:rFonts w:ascii="Arial" w:eastAsia="Times New Roman" w:hAnsi="Arial" w:cs="Arial"/>
          <w:color w:val="000000"/>
          <w:lang w:eastAsia="en-CA"/>
        </w:rPr>
        <w:t xml:space="preserve"> </w:t>
      </w:r>
      <w:r w:rsidRPr="00432F4C">
        <w:rPr>
          <w:rFonts w:ascii="Arial" w:eastAsia="Times New Roman" w:hAnsi="Arial" w:cs="Arial"/>
          <w:color w:val="000000"/>
          <w:lang w:eastAsia="en-CA"/>
        </w:rPr>
        <w:t>Additionally, costs of energy storage systems can be reduced by utilizing a variety of more cost-effective materials such as low-cost membranes for flow batteries along with advanced cell materials.</w:t>
      </w:r>
      <w:r w:rsidR="00126ED0">
        <w:rPr>
          <w:rStyle w:val="EndnoteReference"/>
          <w:rFonts w:ascii="Arial" w:eastAsia="Times New Roman" w:hAnsi="Arial" w:cs="Arial"/>
          <w:color w:val="000000"/>
          <w:lang w:eastAsia="en-CA"/>
        </w:rPr>
        <w:endnoteReference w:id="84"/>
      </w:r>
      <w:r w:rsidR="00126ED0">
        <w:rPr>
          <w:rFonts w:ascii="Arial" w:eastAsia="Times New Roman" w:hAnsi="Arial" w:cs="Arial"/>
          <w:color w:val="000000"/>
          <w:lang w:eastAsia="en-CA"/>
        </w:rPr>
        <w:t xml:space="preserve"> </w:t>
      </w:r>
      <w:r w:rsidRPr="00432F4C">
        <w:rPr>
          <w:rFonts w:ascii="Arial" w:eastAsia="Times New Roman" w:hAnsi="Arial" w:cs="Arial"/>
          <w:color w:val="000000"/>
          <w:lang w:eastAsia="en-CA"/>
        </w:rPr>
        <w:t xml:space="preserve">Two major cost-effective battery options include lithium-ion batteries and lithium-sulfur </w:t>
      </w:r>
      <w:r w:rsidRPr="00432F4C">
        <w:rPr>
          <w:rFonts w:ascii="Arial" w:eastAsia="Times New Roman" w:hAnsi="Arial" w:cs="Arial"/>
          <w:color w:val="000000"/>
          <w:lang w:eastAsia="en-CA"/>
        </w:rPr>
        <w:lastRenderedPageBreak/>
        <w:t>batteries.</w:t>
      </w:r>
      <w:r w:rsidR="00126ED0">
        <w:rPr>
          <w:rStyle w:val="EndnoteReference"/>
          <w:rFonts w:ascii="Arial" w:eastAsia="Times New Roman" w:hAnsi="Arial" w:cs="Arial"/>
          <w:color w:val="000000"/>
          <w:lang w:eastAsia="en-CA"/>
        </w:rPr>
        <w:endnoteReference w:id="85"/>
      </w:r>
      <w:r w:rsidR="00126ED0">
        <w:rPr>
          <w:rFonts w:ascii="Arial" w:eastAsia="Times New Roman" w:hAnsi="Arial" w:cs="Arial"/>
          <w:color w:val="000000"/>
          <w:lang w:eastAsia="en-CA"/>
        </w:rPr>
        <w:t xml:space="preserve"> </w:t>
      </w:r>
      <w:r w:rsidRPr="00432F4C">
        <w:rPr>
          <w:rFonts w:ascii="Arial" w:eastAsia="Times New Roman" w:hAnsi="Arial" w:cs="Arial"/>
          <w:color w:val="000000"/>
          <w:lang w:eastAsia="en-CA"/>
        </w:rPr>
        <w:t xml:space="preserve">In 2018, PG&amp;E was approved by the </w:t>
      </w:r>
      <w:proofErr w:type="spellStart"/>
      <w:r w:rsidRPr="00432F4C">
        <w:rPr>
          <w:rFonts w:ascii="Arial" w:eastAsia="Times New Roman" w:hAnsi="Arial" w:cs="Arial"/>
          <w:color w:val="000000"/>
          <w:lang w:eastAsia="en-CA"/>
        </w:rPr>
        <w:t>CPUCin</w:t>
      </w:r>
      <w:proofErr w:type="spellEnd"/>
      <w:r w:rsidRPr="00432F4C">
        <w:rPr>
          <w:rFonts w:ascii="Arial" w:eastAsia="Times New Roman" w:hAnsi="Arial" w:cs="Arial"/>
          <w:color w:val="000000"/>
          <w:lang w:eastAsia="en-CA"/>
        </w:rPr>
        <w:t xml:space="preserve"> creating four new energy storage projects that are more cost-effective </w:t>
      </w:r>
      <w:r w:rsidR="005D21C6" w:rsidRPr="002C18FF">
        <w:rPr>
          <w:rFonts w:ascii="Times New Roman" w:eastAsia="Times New Roman" w:hAnsi="Times New Roman" w:cs="Times New Roman"/>
          <w:noProof/>
          <w:sz w:val="24"/>
          <w:szCs w:val="24"/>
          <w:lang w:bidi="he-IL"/>
        </w:rPr>
        <w:drawing>
          <wp:anchor distT="0" distB="0" distL="114300" distR="114300" simplePos="0" relativeHeight="251658254" behindDoc="0" locked="0" layoutInCell="1" allowOverlap="1" wp14:anchorId="0439108F" wp14:editId="78E284A8">
            <wp:simplePos x="0" y="0"/>
            <wp:positionH relativeFrom="column">
              <wp:posOffset>3644900</wp:posOffset>
            </wp:positionH>
            <wp:positionV relativeFrom="paragraph">
              <wp:posOffset>382570</wp:posOffset>
            </wp:positionV>
            <wp:extent cx="3397885" cy="4452620"/>
            <wp:effectExtent l="0" t="0" r="0" b="0"/>
            <wp:wrapSquare wrapText="bothSides"/>
            <wp:docPr id="18" name="Picture 18" descr="Blogs | Infinity Energ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ogs | Infinity Energy In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7885" cy="445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2F4C">
        <w:rPr>
          <w:rFonts w:ascii="Arial" w:eastAsia="Times New Roman" w:hAnsi="Arial" w:cs="Arial"/>
          <w:color w:val="000000"/>
          <w:lang w:eastAsia="en-CA"/>
        </w:rPr>
        <w:t>which utilize lithium-ion batteries.</w:t>
      </w:r>
      <w:r w:rsidR="00126ED0">
        <w:rPr>
          <w:rStyle w:val="EndnoteReference"/>
          <w:rFonts w:ascii="Arial" w:eastAsia="Times New Roman" w:hAnsi="Arial" w:cs="Arial"/>
          <w:color w:val="000000"/>
          <w:lang w:eastAsia="en-CA"/>
        </w:rPr>
        <w:endnoteReference w:id="86"/>
      </w:r>
    </w:p>
    <w:p w14:paraId="0059499F" w14:textId="6C213936" w:rsidR="00432F4C" w:rsidRDefault="00432F4C" w:rsidP="003E384A">
      <w:pPr>
        <w:spacing w:after="0" w:line="276" w:lineRule="auto"/>
        <w:ind w:firstLine="720"/>
        <w:jc w:val="both"/>
        <w:rPr>
          <w:rFonts w:ascii="Arial" w:eastAsia="Times New Roman" w:hAnsi="Arial" w:cs="Arial"/>
          <w:color w:val="000000"/>
          <w:lang w:eastAsia="en-CA"/>
        </w:rPr>
      </w:pPr>
      <w:r w:rsidRPr="00432F4C">
        <w:rPr>
          <w:rFonts w:ascii="Arial" w:eastAsia="Times New Roman" w:hAnsi="Arial" w:cs="Arial"/>
          <w:color w:val="000000"/>
          <w:lang w:eastAsia="en-CA"/>
        </w:rPr>
        <w:t>The Government of California is continually working to find more cost-effective energy storage strategies. In 2014, the CPUC worked alongside various stakeholders and experts to create the California Energy Storage Roadmap, which detailed the variety of revenue opportunities, cost reduction strategies associated with integration along with providing clarity regarding goals of energy storage projects.</w:t>
      </w:r>
      <w:r w:rsidR="00126ED0">
        <w:rPr>
          <w:rStyle w:val="EndnoteReference"/>
          <w:rFonts w:ascii="Arial" w:eastAsia="Times New Roman" w:hAnsi="Arial" w:cs="Arial"/>
          <w:color w:val="000000"/>
          <w:lang w:eastAsia="en-CA"/>
        </w:rPr>
        <w:endnoteReference w:id="87"/>
      </w:r>
      <w:r w:rsidR="00126ED0">
        <w:rPr>
          <w:rFonts w:ascii="Arial" w:eastAsia="Times New Roman" w:hAnsi="Arial" w:cs="Arial"/>
          <w:color w:val="000000"/>
          <w:lang w:eastAsia="en-CA"/>
        </w:rPr>
        <w:t xml:space="preserve"> </w:t>
      </w:r>
      <w:r w:rsidRPr="00432F4C">
        <w:rPr>
          <w:rFonts w:ascii="Arial" w:eastAsia="Times New Roman" w:hAnsi="Arial" w:cs="Arial"/>
          <w:color w:val="000000"/>
          <w:lang w:eastAsia="en-CA"/>
        </w:rPr>
        <w:t xml:space="preserve">Additionally, in 2017, California passed Bill 801, which worked alongside the Los Angeles City Council to find the most cost-effective and reliable options to address the electricity disparities in their electrical system. Ultimately, states should follow the lead of California by analyzing their cost-reduction strategies to be translated to reflect the needs of their communities.  </w:t>
      </w:r>
    </w:p>
    <w:p w14:paraId="0A955B26" w14:textId="77777777" w:rsidR="00432F4C" w:rsidRDefault="00432F4C" w:rsidP="003E384A">
      <w:pPr>
        <w:spacing w:after="0" w:line="276" w:lineRule="auto"/>
        <w:jc w:val="both"/>
        <w:rPr>
          <w:rFonts w:ascii="Arial" w:eastAsia="Times New Roman" w:hAnsi="Arial" w:cs="Arial"/>
          <w:color w:val="000000"/>
          <w:lang w:eastAsia="en-CA"/>
        </w:rPr>
      </w:pPr>
    </w:p>
    <w:p w14:paraId="5461084C" w14:textId="1ED67807" w:rsidR="00432F4C" w:rsidRPr="00432F4C" w:rsidRDefault="00432F4C" w:rsidP="003E384A">
      <w:pPr>
        <w:spacing w:after="0" w:line="276" w:lineRule="auto"/>
        <w:jc w:val="both"/>
        <w:rPr>
          <w:rFonts w:ascii="Arial" w:eastAsia="Times New Roman" w:hAnsi="Arial" w:cs="Arial"/>
          <w:b/>
          <w:bCs/>
          <w:i/>
          <w:iCs/>
          <w:color w:val="345A8A"/>
          <w:sz w:val="28"/>
          <w:szCs w:val="28"/>
          <w:lang w:eastAsia="en-CA"/>
        </w:rPr>
      </w:pPr>
      <w:r>
        <w:rPr>
          <w:rFonts w:ascii="Arial" w:eastAsia="Times New Roman" w:hAnsi="Arial" w:cs="Arial"/>
          <w:b/>
          <w:bCs/>
          <w:i/>
          <w:iCs/>
          <w:color w:val="345A8A"/>
          <w:sz w:val="28"/>
          <w:szCs w:val="28"/>
          <w:lang w:eastAsia="en-CA"/>
        </w:rPr>
        <w:t>Mitigation strategy for Risk #3</w:t>
      </w:r>
    </w:p>
    <w:p w14:paraId="7586EB95" w14:textId="7A352B5B" w:rsidR="00432F4C" w:rsidRDefault="002C18FF" w:rsidP="003E384A">
      <w:pPr>
        <w:spacing w:after="0" w:line="276" w:lineRule="auto"/>
        <w:ind w:firstLine="720"/>
        <w:jc w:val="both"/>
        <w:rPr>
          <w:rFonts w:ascii="Arial" w:eastAsia="Times New Roman" w:hAnsi="Arial" w:cs="Arial"/>
          <w:color w:val="000000"/>
          <w:lang w:eastAsia="en-CA"/>
        </w:rPr>
      </w:pPr>
      <w:r>
        <w:rPr>
          <w:noProof/>
        </w:rPr>
        <mc:AlternateContent>
          <mc:Choice Requires="wps">
            <w:drawing>
              <wp:anchor distT="0" distB="0" distL="114300" distR="114300" simplePos="0" relativeHeight="251658253" behindDoc="0" locked="0" layoutInCell="1" allowOverlap="1" wp14:anchorId="3C32A7AD" wp14:editId="5EB5BE94">
                <wp:simplePos x="0" y="0"/>
                <wp:positionH relativeFrom="column">
                  <wp:posOffset>3651685</wp:posOffset>
                </wp:positionH>
                <wp:positionV relativeFrom="paragraph">
                  <wp:posOffset>790040</wp:posOffset>
                </wp:positionV>
                <wp:extent cx="3433445" cy="1651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433445" cy="165100"/>
                        </a:xfrm>
                        <a:prstGeom prst="rect">
                          <a:avLst/>
                        </a:prstGeom>
                        <a:solidFill>
                          <a:prstClr val="white"/>
                        </a:solidFill>
                        <a:ln>
                          <a:noFill/>
                        </a:ln>
                      </wps:spPr>
                      <wps:txbx>
                        <w:txbxContent>
                          <w:p w14:paraId="7B132F72" w14:textId="2D336CA1" w:rsidR="002C18FF" w:rsidRPr="00AA5F6D" w:rsidRDefault="002C18FF" w:rsidP="002C18FF">
                            <w:pPr>
                              <w:pStyle w:val="Caption"/>
                              <w:jc w:val="center"/>
                              <w:rPr>
                                <w:rFonts w:ascii="Times New Roman" w:eastAsia="Times New Roman" w:hAnsi="Times New Roman" w:cs="Times New Roman"/>
                                <w:noProof/>
                                <w:sz w:val="24"/>
                                <w:szCs w:val="24"/>
                              </w:rPr>
                            </w:pPr>
                            <w:r>
                              <w:t xml:space="preserve">Figure </w:t>
                            </w:r>
                            <w:r w:rsidR="00102B9C">
                              <w:t>9</w:t>
                            </w:r>
                            <w:r>
                              <w:t>:</w:t>
                            </w:r>
                            <w:r>
                              <w:rPr>
                                <w:noProof/>
                              </w:rPr>
                              <w:t xml:space="preserve"> </w:t>
                            </w:r>
                            <w:r w:rsidR="00102B9C">
                              <w:rPr>
                                <w:noProof/>
                              </w:rPr>
                              <w:t>SGIP Program Flow-Chart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2A7AD" id="Text Box 21" o:spid="_x0000_s1034" type="#_x0000_t202" style="position:absolute;left:0;text-align:left;margin-left:287.55pt;margin-top:62.2pt;width:270.35pt;height:1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" stroked="f">
                <v:textbox inset="0,0,0,0">
                  <w:txbxContent>
                    <w:p w14:paraId="7B132F72" w14:textId="2D336CA1" w:rsidR="002C18FF" w:rsidRPr="00AA5F6D" w:rsidRDefault="002C18FF" w:rsidP="002C18FF">
                      <w:pPr>
                        <w:pStyle w:val="Caption"/>
                        <w:jc w:val="center"/>
                        <w:rPr>
                          <w:rFonts w:ascii="Times New Roman" w:eastAsia="Times New Roman" w:hAnsi="Times New Roman" w:cs="Times New Roman"/>
                          <w:noProof/>
                          <w:sz w:val="24"/>
                          <w:szCs w:val="24"/>
                        </w:rPr>
                      </w:pPr>
                      <w:r>
                        <w:t xml:space="preserve">Figure </w:t>
                      </w:r>
                      <w:r w:rsidR="00102B9C">
                        <w:t>9</w:t>
                      </w:r>
                      <w:r>
                        <w:t>:</w:t>
                      </w:r>
                      <w:r>
                        <w:rPr>
                          <w:noProof/>
                        </w:rPr>
                        <w:t xml:space="preserve"> </w:t>
                      </w:r>
                      <w:r w:rsidR="00102B9C">
                        <w:rPr>
                          <w:noProof/>
                        </w:rPr>
                        <w:t>SGIP Program Flow-Chart</w:t>
                      </w:r>
                    </w:p>
                  </w:txbxContent>
                </v:textbox>
                <w10:wrap type="square"/>
              </v:shape>
            </w:pict>
          </mc:Fallback>
        </mc:AlternateContent>
      </w:r>
      <w:r w:rsidR="00432F4C" w:rsidRPr="00432F4C">
        <w:rPr>
          <w:rFonts w:ascii="Arial" w:eastAsia="Times New Roman" w:hAnsi="Arial" w:cs="Arial"/>
          <w:color w:val="000000"/>
          <w:lang w:eastAsia="en-CA"/>
        </w:rPr>
        <w:t>To mitigate the risk of lack of incentive, states should follow the Government of California policy initiative known as the Self-Generation Incentive Program (SGIP), which acted as a financial incentive to encourage energy storage projects between 2017-2021. This policy program is known as one of the first “equity-focused” incentive programs that provide individuals with a financial incentive to install energy storage systems in their homes.</w:t>
      </w:r>
      <w:r w:rsidR="00126ED0">
        <w:rPr>
          <w:rStyle w:val="EndnoteReference"/>
          <w:rFonts w:ascii="Arial" w:eastAsia="Times New Roman" w:hAnsi="Arial" w:cs="Arial"/>
          <w:color w:val="000000"/>
          <w:lang w:eastAsia="en-CA"/>
        </w:rPr>
        <w:endnoteReference w:id="88"/>
      </w:r>
      <w:r w:rsidR="00126ED0">
        <w:rPr>
          <w:rFonts w:ascii="Arial" w:eastAsia="Times New Roman" w:hAnsi="Arial" w:cs="Arial"/>
          <w:color w:val="000000"/>
          <w:lang w:eastAsia="en-CA"/>
        </w:rPr>
        <w:t xml:space="preserve"> </w:t>
      </w:r>
      <w:r w:rsidR="00432F4C" w:rsidRPr="00432F4C">
        <w:rPr>
          <w:rFonts w:ascii="Arial" w:eastAsia="Times New Roman" w:hAnsi="Arial" w:cs="Arial"/>
          <w:color w:val="000000"/>
          <w:lang w:eastAsia="en-CA"/>
        </w:rPr>
        <w:t>Initially, the program was not entirely successful due to the lower financial incentives, however, the program has increased the “funding for education and community engagement, and a more streamlined approach.”</w:t>
      </w:r>
      <w:r w:rsidR="00126ED0">
        <w:rPr>
          <w:rStyle w:val="EndnoteReference"/>
          <w:rFonts w:ascii="Arial" w:eastAsia="Times New Roman" w:hAnsi="Arial" w:cs="Arial"/>
          <w:color w:val="000000"/>
          <w:lang w:eastAsia="en-CA"/>
        </w:rPr>
        <w:endnoteReference w:id="89"/>
      </w:r>
      <w:r w:rsidR="00126ED0">
        <w:rPr>
          <w:rFonts w:ascii="Arial" w:eastAsia="Times New Roman" w:hAnsi="Arial" w:cs="Arial"/>
          <w:color w:val="000000"/>
          <w:lang w:eastAsia="en-CA"/>
        </w:rPr>
        <w:t xml:space="preserve"> </w:t>
      </w:r>
      <w:r w:rsidR="00432F4C" w:rsidRPr="00432F4C">
        <w:rPr>
          <w:rFonts w:ascii="Arial" w:eastAsia="Times New Roman" w:hAnsi="Arial" w:cs="Arial"/>
          <w:color w:val="000000"/>
          <w:lang w:eastAsia="en-CA"/>
        </w:rPr>
        <w:t>Some recommendations SGIP is incorporating include working to identify the various barriers for marginalized and low-income citizens’ use of energy storage systems, in addition to creating outreach programs and stakeholder engagement strategies.</w:t>
      </w:r>
      <w:r w:rsidR="00843916">
        <w:rPr>
          <w:rStyle w:val="EndnoteReference"/>
          <w:rFonts w:ascii="Arial" w:eastAsia="Times New Roman" w:hAnsi="Arial" w:cs="Arial"/>
          <w:color w:val="000000"/>
          <w:lang w:eastAsia="en-CA"/>
        </w:rPr>
        <w:endnoteReference w:id="90"/>
      </w:r>
      <w:r w:rsidR="00843916">
        <w:rPr>
          <w:rFonts w:ascii="Arial" w:eastAsia="Times New Roman" w:hAnsi="Arial" w:cs="Arial"/>
          <w:color w:val="000000"/>
          <w:lang w:eastAsia="en-CA"/>
        </w:rPr>
        <w:t xml:space="preserve"> </w:t>
      </w:r>
      <w:r w:rsidR="00432F4C" w:rsidRPr="00432F4C">
        <w:rPr>
          <w:rFonts w:ascii="Arial" w:eastAsia="Times New Roman" w:hAnsi="Arial" w:cs="Arial"/>
          <w:color w:val="000000"/>
          <w:lang w:eastAsia="en-CA"/>
        </w:rPr>
        <w:t>For example, PG&amp;E not only uses SGIP, but also provides clear instructions and benefits about how home-owners can become eligible for SGIP.</w:t>
      </w:r>
      <w:r w:rsidR="00843916">
        <w:rPr>
          <w:rStyle w:val="EndnoteReference"/>
          <w:rFonts w:ascii="Arial" w:eastAsia="Times New Roman" w:hAnsi="Arial" w:cs="Arial"/>
          <w:color w:val="000000"/>
          <w:lang w:eastAsia="en-CA"/>
        </w:rPr>
        <w:endnoteReference w:id="91"/>
      </w:r>
      <w:r w:rsidR="00843916">
        <w:rPr>
          <w:rFonts w:ascii="Arial" w:eastAsia="Times New Roman" w:hAnsi="Arial" w:cs="Arial"/>
          <w:color w:val="000000"/>
          <w:lang w:eastAsia="en-CA"/>
        </w:rPr>
        <w:t xml:space="preserve"> </w:t>
      </w:r>
      <w:r w:rsidR="00432F4C" w:rsidRPr="00432F4C">
        <w:rPr>
          <w:rFonts w:ascii="Arial" w:eastAsia="Times New Roman" w:hAnsi="Arial" w:cs="Arial"/>
          <w:color w:val="000000"/>
          <w:lang w:eastAsia="en-CA"/>
        </w:rPr>
        <w:t xml:space="preserve">Therefore, to incentivize the use of energy storage systems, governments should </w:t>
      </w:r>
      <w:r w:rsidR="00432F4C" w:rsidRPr="00432F4C">
        <w:rPr>
          <w:rFonts w:ascii="Arial" w:eastAsia="Times New Roman" w:hAnsi="Arial" w:cs="Arial"/>
          <w:color w:val="000000"/>
          <w:lang w:eastAsia="en-CA"/>
        </w:rPr>
        <w:t xml:space="preserve">utilize SGIP as a framework to guide the creation of incentive programs in their home states.   </w:t>
      </w:r>
    </w:p>
    <w:p w14:paraId="1398B186" w14:textId="25A720E0" w:rsidR="002C18FF" w:rsidRPr="002C18FF" w:rsidRDefault="002C18FF" w:rsidP="002C18FF">
      <w:pPr>
        <w:spacing w:after="0" w:line="240" w:lineRule="auto"/>
        <w:rPr>
          <w:rFonts w:ascii="Times New Roman" w:eastAsia="Times New Roman" w:hAnsi="Times New Roman" w:cs="Times New Roman"/>
          <w:sz w:val="24"/>
          <w:szCs w:val="24"/>
          <w:lang w:bidi="he-IL"/>
        </w:rPr>
      </w:pPr>
      <w:r w:rsidRPr="002C18FF">
        <w:rPr>
          <w:rFonts w:ascii="Times New Roman" w:eastAsia="Times New Roman" w:hAnsi="Times New Roman" w:cs="Times New Roman"/>
          <w:sz w:val="24"/>
          <w:szCs w:val="24"/>
          <w:lang w:bidi="he-IL"/>
        </w:rPr>
        <w:fldChar w:fldCharType="begin"/>
      </w:r>
      <w:r w:rsidRPr="002C18FF">
        <w:rPr>
          <w:rFonts w:ascii="Times New Roman" w:eastAsia="Times New Roman" w:hAnsi="Times New Roman" w:cs="Times New Roman"/>
          <w:sz w:val="24"/>
          <w:szCs w:val="24"/>
          <w:lang w:bidi="he-IL"/>
        </w:rPr>
        <w:instrText xml:space="preserve"> INCLUDEPICTURE "/var/folders/fs/jhtxr97s5tj944xtp_h6z32w0000gn/T/com.microsoft.Word/WebArchiveCopyPasteTempFiles/SGIP_Process.png" \* MERGEFORMATINET </w:instrText>
      </w:r>
      <w:r w:rsidR="00000000">
        <w:rPr>
          <w:rFonts w:ascii="Times New Roman" w:eastAsia="Times New Roman" w:hAnsi="Times New Roman" w:cs="Times New Roman"/>
          <w:sz w:val="24"/>
          <w:szCs w:val="24"/>
          <w:lang w:bidi="he-IL"/>
        </w:rPr>
        <w:fldChar w:fldCharType="separate"/>
      </w:r>
      <w:r w:rsidRPr="002C18FF">
        <w:rPr>
          <w:rFonts w:ascii="Times New Roman" w:eastAsia="Times New Roman" w:hAnsi="Times New Roman" w:cs="Times New Roman"/>
          <w:sz w:val="24"/>
          <w:szCs w:val="24"/>
          <w:lang w:bidi="he-IL"/>
        </w:rPr>
        <w:fldChar w:fldCharType="end"/>
      </w:r>
    </w:p>
    <w:p w14:paraId="63313B2B" w14:textId="7418D2E7" w:rsidR="002C18FF" w:rsidRPr="00B04BD9" w:rsidRDefault="002C18FF" w:rsidP="003E384A">
      <w:pPr>
        <w:spacing w:after="0" w:line="276" w:lineRule="auto"/>
        <w:ind w:firstLine="720"/>
        <w:jc w:val="both"/>
        <w:rPr>
          <w:rFonts w:ascii="Arial" w:eastAsia="Times New Roman" w:hAnsi="Arial" w:cs="Arial"/>
          <w:b/>
          <w:bCs/>
          <w:sz w:val="28"/>
          <w:szCs w:val="28"/>
          <w:lang w:eastAsia="en-CA"/>
        </w:rPr>
      </w:pPr>
    </w:p>
    <w:p w14:paraId="285E3AAB" w14:textId="711BD911" w:rsidR="00C567E9" w:rsidRDefault="00C567E9" w:rsidP="003E384A">
      <w:pPr>
        <w:spacing w:after="0" w:line="276" w:lineRule="auto"/>
        <w:jc w:val="both"/>
        <w:rPr>
          <w:rFonts w:ascii="Arial" w:eastAsia="Times New Roman" w:hAnsi="Arial" w:cs="Arial"/>
          <w:b/>
          <w:bCs/>
          <w:color w:val="345A8A"/>
          <w:sz w:val="28"/>
          <w:szCs w:val="28"/>
          <w:lang w:eastAsia="en-CA"/>
        </w:rPr>
      </w:pPr>
    </w:p>
    <w:p w14:paraId="22C71338" w14:textId="4F781EEE" w:rsidR="00C26955" w:rsidRDefault="00C26955" w:rsidP="003E384A">
      <w:pPr>
        <w:spacing w:after="0" w:line="276" w:lineRule="auto"/>
        <w:jc w:val="both"/>
        <w:rPr>
          <w:rFonts w:ascii="Arial" w:eastAsia="Times New Roman" w:hAnsi="Arial" w:cs="Arial"/>
          <w:b/>
          <w:bCs/>
          <w:color w:val="345A8A"/>
          <w:sz w:val="28"/>
          <w:szCs w:val="28"/>
          <w:lang w:eastAsia="en-CA"/>
        </w:rPr>
      </w:pPr>
    </w:p>
    <w:p w14:paraId="0C20BB96" w14:textId="50386C16" w:rsidR="00C26955" w:rsidRDefault="00C26955" w:rsidP="003E384A">
      <w:pPr>
        <w:spacing w:after="0" w:line="276" w:lineRule="auto"/>
        <w:jc w:val="both"/>
        <w:rPr>
          <w:rFonts w:ascii="Arial" w:eastAsia="Times New Roman" w:hAnsi="Arial" w:cs="Arial"/>
          <w:b/>
          <w:bCs/>
          <w:color w:val="345A8A"/>
          <w:sz w:val="28"/>
          <w:szCs w:val="28"/>
          <w:lang w:eastAsia="en-CA"/>
        </w:rPr>
      </w:pPr>
    </w:p>
    <w:p w14:paraId="672F27D2" w14:textId="164EF8F0" w:rsidR="00C26955" w:rsidRDefault="00C26955" w:rsidP="003E384A">
      <w:pPr>
        <w:spacing w:after="0" w:line="276" w:lineRule="auto"/>
        <w:jc w:val="both"/>
        <w:rPr>
          <w:rFonts w:ascii="Arial" w:eastAsia="Times New Roman" w:hAnsi="Arial" w:cs="Arial"/>
          <w:b/>
          <w:bCs/>
          <w:color w:val="345A8A"/>
          <w:sz w:val="28"/>
          <w:szCs w:val="28"/>
          <w:lang w:eastAsia="en-CA"/>
        </w:rPr>
      </w:pPr>
    </w:p>
    <w:p w14:paraId="7DC5EE86" w14:textId="2D5C894F" w:rsidR="00C26955" w:rsidRDefault="00C26955" w:rsidP="003E384A">
      <w:pPr>
        <w:spacing w:after="0" w:line="276" w:lineRule="auto"/>
        <w:jc w:val="both"/>
        <w:rPr>
          <w:rFonts w:ascii="Arial" w:eastAsia="Times New Roman" w:hAnsi="Arial" w:cs="Arial"/>
          <w:b/>
          <w:bCs/>
          <w:color w:val="345A8A"/>
          <w:sz w:val="28"/>
          <w:szCs w:val="28"/>
          <w:lang w:eastAsia="en-CA"/>
        </w:rPr>
      </w:pPr>
    </w:p>
    <w:p w14:paraId="520C74A3" w14:textId="5FDE1484" w:rsidR="00C26955" w:rsidRDefault="00C26955" w:rsidP="003E384A">
      <w:pPr>
        <w:spacing w:after="0" w:line="276" w:lineRule="auto"/>
        <w:jc w:val="both"/>
        <w:rPr>
          <w:rFonts w:ascii="Arial" w:eastAsia="Times New Roman" w:hAnsi="Arial" w:cs="Arial"/>
          <w:b/>
          <w:bCs/>
          <w:color w:val="345A8A"/>
          <w:sz w:val="28"/>
          <w:szCs w:val="28"/>
          <w:lang w:eastAsia="en-CA"/>
        </w:rPr>
      </w:pPr>
    </w:p>
    <w:p w14:paraId="65C5F813" w14:textId="76CACEDC" w:rsidR="005D21C6" w:rsidRDefault="005D21C6" w:rsidP="003E384A">
      <w:pPr>
        <w:spacing w:after="0" w:line="276" w:lineRule="auto"/>
        <w:jc w:val="both"/>
        <w:rPr>
          <w:rFonts w:ascii="Arial" w:eastAsia="Times New Roman" w:hAnsi="Arial" w:cs="Arial"/>
          <w:b/>
          <w:bCs/>
          <w:color w:val="345A8A"/>
          <w:sz w:val="28"/>
          <w:szCs w:val="28"/>
          <w:lang w:eastAsia="en-CA"/>
        </w:rPr>
      </w:pPr>
    </w:p>
    <w:p w14:paraId="5D6EC595" w14:textId="7D9EC21D" w:rsidR="005D21C6" w:rsidRDefault="005D21C6" w:rsidP="003E384A">
      <w:pPr>
        <w:spacing w:after="0" w:line="276" w:lineRule="auto"/>
        <w:jc w:val="both"/>
        <w:rPr>
          <w:rFonts w:ascii="Arial" w:eastAsia="Times New Roman" w:hAnsi="Arial" w:cs="Arial"/>
          <w:b/>
          <w:bCs/>
          <w:color w:val="345A8A"/>
          <w:sz w:val="28"/>
          <w:szCs w:val="28"/>
          <w:lang w:eastAsia="en-CA"/>
        </w:rPr>
      </w:pPr>
    </w:p>
    <w:p w14:paraId="4E89BC55" w14:textId="150AF501" w:rsidR="005D21C6" w:rsidRDefault="005D21C6" w:rsidP="003E384A">
      <w:pPr>
        <w:spacing w:after="0" w:line="276" w:lineRule="auto"/>
        <w:jc w:val="both"/>
        <w:rPr>
          <w:rFonts w:ascii="Arial" w:eastAsia="Times New Roman" w:hAnsi="Arial" w:cs="Arial"/>
          <w:b/>
          <w:bCs/>
          <w:color w:val="345A8A"/>
          <w:sz w:val="28"/>
          <w:szCs w:val="28"/>
          <w:lang w:eastAsia="en-CA"/>
        </w:rPr>
      </w:pPr>
    </w:p>
    <w:p w14:paraId="6065DEF5" w14:textId="77777777" w:rsidR="005D21C6" w:rsidRDefault="005D21C6" w:rsidP="003E384A">
      <w:pPr>
        <w:spacing w:after="0" w:line="276" w:lineRule="auto"/>
        <w:jc w:val="both"/>
        <w:rPr>
          <w:rFonts w:ascii="Arial" w:eastAsia="Times New Roman" w:hAnsi="Arial" w:cs="Arial"/>
          <w:b/>
          <w:bCs/>
          <w:color w:val="345A8A"/>
          <w:sz w:val="28"/>
          <w:szCs w:val="28"/>
          <w:lang w:eastAsia="en-CA"/>
        </w:rPr>
      </w:pPr>
    </w:p>
    <w:p w14:paraId="2D0CC18A" w14:textId="5D6994DC" w:rsidR="00C26955" w:rsidRDefault="00C26955" w:rsidP="00C26955">
      <w:pPr>
        <w:spacing w:after="0" w:line="276" w:lineRule="auto"/>
        <w:jc w:val="both"/>
        <w:rPr>
          <w:rFonts w:ascii="Arial" w:eastAsia="Times New Roman" w:hAnsi="Arial" w:cs="Arial"/>
          <w:b/>
          <w:bCs/>
          <w:color w:val="345A8A"/>
          <w:sz w:val="28"/>
          <w:szCs w:val="28"/>
          <w:lang w:eastAsia="en-CA"/>
        </w:rPr>
      </w:pPr>
    </w:p>
    <w:p w14:paraId="5D3DDE9B" w14:textId="74D1EA33" w:rsidR="00EB3B9A" w:rsidRPr="00C26955" w:rsidRDefault="00EB3B9A" w:rsidP="00C26955">
      <w:pPr>
        <w:rPr>
          <w:rFonts w:ascii="Arial" w:eastAsia="Times New Roman" w:hAnsi="Arial" w:cs="Arial"/>
          <w:color w:val="000000"/>
          <w:lang w:eastAsia="en-CA"/>
        </w:rPr>
        <w:sectPr w:rsidR="00EB3B9A" w:rsidRPr="00C26955" w:rsidSect="0086062C">
          <w:endnotePr>
            <w:numFmt w:val="decimal"/>
          </w:endnotePr>
          <w:type w:val="continuous"/>
          <w:pgSz w:w="12240" w:h="15840"/>
          <w:pgMar w:top="567" w:right="567" w:bottom="845" w:left="567" w:header="709" w:footer="397" w:gutter="0"/>
          <w:cols w:num="2" w:space="397"/>
          <w:docGrid w:linePitch="360"/>
        </w:sectPr>
      </w:pPr>
    </w:p>
    <w:p w14:paraId="167918C8" w14:textId="67FBCF9D" w:rsidR="00C26955" w:rsidRDefault="00C26955" w:rsidP="00C26955">
      <w:pPr>
        <w:rPr>
          <w:lang w:eastAsia="en-CA"/>
        </w:rPr>
      </w:pPr>
    </w:p>
    <w:p w14:paraId="4258AED9" w14:textId="5F389B7D" w:rsidR="001021E7" w:rsidRDefault="001021E7" w:rsidP="00C26955">
      <w:pPr>
        <w:rPr>
          <w:lang w:eastAsia="en-CA"/>
        </w:rPr>
      </w:pPr>
    </w:p>
    <w:p w14:paraId="19B1F064" w14:textId="5A5FE7F8" w:rsidR="001021E7" w:rsidRDefault="001021E7" w:rsidP="00C26955">
      <w:pPr>
        <w:rPr>
          <w:lang w:eastAsia="en-CA"/>
        </w:rPr>
      </w:pPr>
    </w:p>
    <w:p w14:paraId="2C53056A" w14:textId="77777777" w:rsidR="001021E7" w:rsidRDefault="001021E7" w:rsidP="00C26955">
      <w:pPr>
        <w:rPr>
          <w:lang w:eastAsia="en-CA"/>
        </w:rPr>
      </w:pPr>
    </w:p>
    <w:p w14:paraId="1BB1B6FA" w14:textId="78C53DBE" w:rsidR="00C53E66" w:rsidRDefault="00D8208E" w:rsidP="001E29E4">
      <w:pPr>
        <w:pStyle w:val="Heading1"/>
      </w:pPr>
      <w:bookmarkStart w:id="4" w:name="_Toc110685476"/>
      <w:r>
        <w:lastRenderedPageBreak/>
        <w:t>Figures</w:t>
      </w:r>
      <w:bookmarkEnd w:id="4"/>
    </w:p>
    <w:p w14:paraId="41DEA539" w14:textId="77777777" w:rsidR="001E29E4" w:rsidRPr="001E29E4" w:rsidRDefault="001E29E4" w:rsidP="001E29E4">
      <w:pPr>
        <w:rPr>
          <w:lang w:eastAsia="en-CA"/>
        </w:rPr>
      </w:pPr>
    </w:p>
    <w:p w14:paraId="2C6A66A7" w14:textId="05EE4DCD" w:rsidR="00C53E66" w:rsidRPr="009E7742" w:rsidRDefault="00C53E66" w:rsidP="00274CE7">
      <w:pPr>
        <w:rPr>
          <w:rFonts w:asciiTheme="minorBidi" w:hAnsiTheme="minorBidi"/>
          <w:lang w:eastAsia="en-CA"/>
        </w:rPr>
      </w:pPr>
      <w:r w:rsidRPr="009E7742">
        <w:rPr>
          <w:rFonts w:asciiTheme="minorBidi" w:hAnsiTheme="minorBidi"/>
          <w:b/>
          <w:lang w:eastAsia="en-CA"/>
        </w:rPr>
        <w:t>Figure 1.</w:t>
      </w:r>
      <w:r w:rsidRPr="009E7742">
        <w:rPr>
          <w:rFonts w:asciiTheme="minorBidi" w:hAnsiTheme="minorBidi"/>
          <w:lang w:eastAsia="en-CA"/>
        </w:rPr>
        <w:t xml:space="preserve"> </w:t>
      </w:r>
      <w:r w:rsidR="00301BD9" w:rsidRPr="009E7742">
        <w:rPr>
          <w:rFonts w:asciiTheme="minorBidi" w:hAnsiTheme="minorBidi"/>
          <w:lang w:eastAsia="en-CA"/>
        </w:rPr>
        <w:t>Liedtke, Michael, and Olga R. Rodriguez. “PG&amp;E to Plead Guilty to Lethal Crimes in 2018 California Wildfires.” CTVNews, March 24, 2020. https://www.ctvnews.ca/world/pg-e-to-plead-guilty-to-lethal-crimes-in-2018-california-wildfires-1.4865461?cache=gszlebujvvuylyge%3FclipId%3D104062.</w:t>
      </w:r>
    </w:p>
    <w:p w14:paraId="38BB13A7" w14:textId="4BAD5F53" w:rsidR="00C53E66" w:rsidRPr="009E7742" w:rsidRDefault="00C53E66" w:rsidP="00274CE7">
      <w:pPr>
        <w:rPr>
          <w:rFonts w:asciiTheme="minorBidi" w:hAnsiTheme="minorBidi"/>
          <w:lang w:eastAsia="en-CA"/>
        </w:rPr>
      </w:pPr>
      <w:r w:rsidRPr="009E7742">
        <w:rPr>
          <w:rFonts w:asciiTheme="minorBidi" w:hAnsiTheme="minorBidi"/>
          <w:b/>
          <w:bCs/>
          <w:lang w:eastAsia="en-CA"/>
        </w:rPr>
        <w:t>Figure 2.</w:t>
      </w:r>
      <w:r w:rsidR="009705BE" w:rsidRPr="009E7742">
        <w:rPr>
          <w:rFonts w:asciiTheme="minorBidi" w:hAnsiTheme="minorBidi"/>
          <w:lang w:eastAsia="en-CA"/>
        </w:rPr>
        <w:t xml:space="preserve"> </w:t>
      </w:r>
      <w:r w:rsidR="00866586" w:rsidRPr="009E7742">
        <w:rPr>
          <w:rFonts w:asciiTheme="minorBidi" w:hAnsiTheme="minorBidi"/>
          <w:lang w:eastAsia="en-CA"/>
        </w:rPr>
        <w:t xml:space="preserve">Luna, Taryn. “California Utilities Agree to Pay $10.5 Billion into New Wildfire Fund.” Los Angeles Times. Los Angeles Times, July 25, 2019. https://www.latimes.com/california/story/2019-07-25/california-utilities-agree-to-pay-10-5-billion-into-new-wildfire-fund. </w:t>
      </w:r>
      <w:r w:rsidR="009705BE" w:rsidRPr="009E7742">
        <w:rPr>
          <w:rFonts w:asciiTheme="minorBidi" w:hAnsiTheme="minorBidi"/>
          <w:lang w:eastAsia="en-CA"/>
        </w:rPr>
        <w:t>https://www.macleans.ca/politics/election-2019-this-is-what-the-house-of-commons-will-look-like/</w:t>
      </w:r>
    </w:p>
    <w:p w14:paraId="0C6CE64E" w14:textId="0FB33788" w:rsidR="00C53E66" w:rsidRPr="009E7742" w:rsidRDefault="00C53E66" w:rsidP="00274CE7">
      <w:pPr>
        <w:rPr>
          <w:rFonts w:asciiTheme="minorBidi" w:hAnsiTheme="minorBidi"/>
          <w:lang w:eastAsia="en-CA"/>
        </w:rPr>
      </w:pPr>
      <w:r w:rsidRPr="009E7742">
        <w:rPr>
          <w:rFonts w:asciiTheme="minorBidi" w:hAnsiTheme="minorBidi"/>
          <w:b/>
          <w:bCs/>
          <w:lang w:eastAsia="en-CA"/>
        </w:rPr>
        <w:t>Figure 3.</w:t>
      </w:r>
      <w:r w:rsidR="009705BE" w:rsidRPr="009E7742">
        <w:rPr>
          <w:rFonts w:asciiTheme="minorBidi" w:hAnsiTheme="minorBidi"/>
          <w:lang w:eastAsia="en-CA"/>
        </w:rPr>
        <w:t xml:space="preserve"> </w:t>
      </w:r>
      <w:r w:rsidR="003E384A" w:rsidRPr="009E7742">
        <w:rPr>
          <w:rFonts w:asciiTheme="minorBidi" w:hAnsiTheme="minorBidi"/>
          <w:lang w:eastAsia="en-CA"/>
        </w:rPr>
        <w:t>Associated Press. “$166 Million in Fines Recommended for PG&amp;E over Power Outages.” The Mercury News. The Mercury News, November 1, 2020. https://www.mercurynews.com/2020/11/01/166m-in-fines-recommended-for-pge-over-power-outages/.</w:t>
      </w:r>
    </w:p>
    <w:p w14:paraId="48CBEFB7" w14:textId="2704FA36" w:rsidR="00C53E66" w:rsidRPr="009E7742" w:rsidRDefault="00C53E66" w:rsidP="00274CE7">
      <w:pPr>
        <w:pStyle w:val="NormalWeb"/>
        <w:spacing w:before="0" w:beforeAutospacing="0" w:after="0" w:afterAutospacing="0"/>
        <w:rPr>
          <w:rFonts w:asciiTheme="minorBidi" w:hAnsiTheme="minorBidi" w:cstheme="minorBidi"/>
          <w:color w:val="000000"/>
          <w:sz w:val="22"/>
          <w:szCs w:val="22"/>
        </w:rPr>
      </w:pPr>
      <w:r w:rsidRPr="009E7742">
        <w:rPr>
          <w:rFonts w:asciiTheme="minorBidi" w:hAnsiTheme="minorBidi" w:cstheme="minorBidi"/>
          <w:b/>
          <w:bCs/>
          <w:sz w:val="22"/>
          <w:szCs w:val="22"/>
        </w:rPr>
        <w:t>Figure 4</w:t>
      </w:r>
      <w:r w:rsidR="00AB7554" w:rsidRPr="009E7742">
        <w:rPr>
          <w:rFonts w:asciiTheme="minorBidi" w:hAnsiTheme="minorBidi" w:cstheme="minorBidi"/>
          <w:b/>
          <w:bCs/>
          <w:sz w:val="22"/>
          <w:szCs w:val="22"/>
        </w:rPr>
        <w:t>.</w:t>
      </w:r>
      <w:r w:rsidR="00AB7554" w:rsidRPr="009E7742">
        <w:rPr>
          <w:rFonts w:asciiTheme="minorBidi" w:hAnsiTheme="minorBidi" w:cstheme="minorBidi"/>
          <w:sz w:val="22"/>
          <w:szCs w:val="22"/>
        </w:rPr>
        <w:t xml:space="preserve"> </w:t>
      </w:r>
      <w:r w:rsidR="004A45BE" w:rsidRPr="009E7742">
        <w:rPr>
          <w:rFonts w:asciiTheme="minorBidi" w:hAnsiTheme="minorBidi" w:cstheme="minorBidi"/>
          <w:color w:val="000000"/>
          <w:sz w:val="22"/>
          <w:szCs w:val="22"/>
        </w:rPr>
        <w:t>“</w:t>
      </w:r>
      <w:r w:rsidR="001E29E4" w:rsidRPr="001E29E4">
        <w:rPr>
          <w:rFonts w:asciiTheme="minorBidi" w:hAnsiTheme="minorBidi" w:cstheme="minorBidi"/>
          <w:color w:val="000000"/>
          <w:sz w:val="22"/>
          <w:szCs w:val="22"/>
        </w:rPr>
        <w:t>“Reclaim Our Power: Utility Justice Campaign.” Reclaim Our Power: Utility Justice Campaign | Local Clean Energy Alliance of the Bay Area. Accessed August 6, 2022. http://localcleanenergy.org/UtilityJustice.</w:t>
      </w:r>
    </w:p>
    <w:p w14:paraId="4C51983C" w14:textId="77777777" w:rsidR="009705BE" w:rsidRPr="009E7742" w:rsidRDefault="009705BE" w:rsidP="00274CE7">
      <w:pPr>
        <w:pStyle w:val="NormalWeb"/>
        <w:spacing w:before="0" w:beforeAutospacing="0" w:after="0" w:afterAutospacing="0"/>
        <w:rPr>
          <w:rFonts w:asciiTheme="minorBidi" w:hAnsiTheme="minorBidi" w:cstheme="minorBidi"/>
          <w:sz w:val="22"/>
          <w:szCs w:val="22"/>
        </w:rPr>
      </w:pPr>
    </w:p>
    <w:p w14:paraId="52B80DDB" w14:textId="0801B2EB" w:rsidR="00C53E66" w:rsidRPr="009E7742" w:rsidRDefault="00C53E66" w:rsidP="00274CE7">
      <w:pPr>
        <w:rPr>
          <w:rFonts w:asciiTheme="minorBidi" w:hAnsiTheme="minorBidi"/>
          <w:lang w:eastAsia="en-CA"/>
        </w:rPr>
      </w:pPr>
      <w:r w:rsidRPr="009E7742">
        <w:rPr>
          <w:rFonts w:asciiTheme="minorBidi" w:hAnsiTheme="minorBidi"/>
          <w:b/>
          <w:bCs/>
          <w:lang w:eastAsia="en-CA"/>
        </w:rPr>
        <w:t>Figure 5</w:t>
      </w:r>
      <w:r w:rsidRPr="009E7742">
        <w:rPr>
          <w:rFonts w:asciiTheme="minorBidi" w:hAnsiTheme="minorBidi"/>
          <w:lang w:eastAsia="en-CA"/>
        </w:rPr>
        <w:t>.</w:t>
      </w:r>
      <w:r w:rsidR="009705BE" w:rsidRPr="009E7742">
        <w:rPr>
          <w:rFonts w:asciiTheme="minorBidi" w:hAnsiTheme="minorBidi"/>
          <w:lang w:eastAsia="en-CA"/>
        </w:rPr>
        <w:t xml:space="preserve"> </w:t>
      </w:r>
      <w:r w:rsidR="009E7742" w:rsidRPr="009E7742">
        <w:rPr>
          <w:rFonts w:asciiTheme="minorBidi" w:hAnsiTheme="minorBidi"/>
          <w:color w:val="000000"/>
        </w:rPr>
        <w:t>“PG&amp;E Virtual Safety Town Hall.” City of Sonoma, May 27, 2021. https://www.sonomacity.org/pge-virtual-safety-town-hall-june-2nd-12-pm/.</w:t>
      </w:r>
    </w:p>
    <w:p w14:paraId="79F8643F" w14:textId="4346FE84" w:rsidR="00C53E66" w:rsidRPr="009E7742" w:rsidRDefault="00C53E66" w:rsidP="00274CE7">
      <w:pPr>
        <w:rPr>
          <w:rFonts w:asciiTheme="minorBidi" w:hAnsiTheme="minorBidi"/>
          <w:lang w:eastAsia="en-CA"/>
        </w:rPr>
      </w:pPr>
      <w:r w:rsidRPr="009E7742">
        <w:rPr>
          <w:rFonts w:asciiTheme="minorBidi" w:hAnsiTheme="minorBidi"/>
          <w:b/>
          <w:bCs/>
          <w:lang w:eastAsia="en-CA"/>
        </w:rPr>
        <w:t>Figure 6.</w:t>
      </w:r>
      <w:r w:rsidR="009705BE" w:rsidRPr="009E7742">
        <w:rPr>
          <w:rFonts w:asciiTheme="minorBidi" w:hAnsiTheme="minorBidi"/>
          <w:lang w:eastAsia="en-CA"/>
        </w:rPr>
        <w:t xml:space="preserve"> </w:t>
      </w:r>
      <w:r w:rsidR="009E7742" w:rsidRPr="009E7742">
        <w:rPr>
          <w:rFonts w:asciiTheme="minorBidi" w:hAnsiTheme="minorBidi"/>
          <w:lang w:eastAsia="en-CA"/>
        </w:rPr>
        <w:t>“Better Together Giving Program.” Giving Locally. Accessed August 6, 2022. https://www.pge.com/en_US/residential/in-your-community/pge-gives-back/giving-locally/giving-locally.page.</w:t>
      </w:r>
    </w:p>
    <w:p w14:paraId="492AAEFC" w14:textId="169183C5" w:rsidR="00C53E66" w:rsidRPr="009E7742" w:rsidRDefault="00C53E66" w:rsidP="00274CE7">
      <w:pPr>
        <w:rPr>
          <w:rFonts w:asciiTheme="minorBidi" w:hAnsiTheme="minorBidi"/>
          <w:lang w:eastAsia="en-CA"/>
        </w:rPr>
      </w:pPr>
      <w:r w:rsidRPr="009E7742">
        <w:rPr>
          <w:rFonts w:asciiTheme="minorBidi" w:hAnsiTheme="minorBidi"/>
          <w:b/>
          <w:bCs/>
          <w:lang w:eastAsia="en-CA"/>
        </w:rPr>
        <w:t>Figure 7.</w:t>
      </w:r>
      <w:r w:rsidR="00AB7554" w:rsidRPr="009E7742">
        <w:rPr>
          <w:rFonts w:asciiTheme="minorBidi" w:hAnsiTheme="minorBidi"/>
          <w:lang w:eastAsia="en-CA"/>
        </w:rPr>
        <w:t xml:space="preserve"> </w:t>
      </w:r>
      <w:r w:rsidR="009E7742" w:rsidRPr="009E7742">
        <w:rPr>
          <w:rFonts w:asciiTheme="minorBidi" w:hAnsiTheme="minorBidi"/>
          <w:lang w:eastAsia="en-CA"/>
        </w:rPr>
        <w:t>Axelrod, Tal. “California Gov: State Could Take over PG&amp;E in Wake of Bankruptcy Crisis.” The Hill. The Hill, December 18, 2019. https://thehill.com/homenews/state-watch/468683-california-governor-says-if-pge-doesnt-get-itself-out-of-bankruptcy-the/.</w:t>
      </w:r>
    </w:p>
    <w:p w14:paraId="4053C4AF" w14:textId="77777777" w:rsidR="001E29E4" w:rsidRDefault="001E29E4" w:rsidP="00274CE7">
      <w:pPr>
        <w:rPr>
          <w:rFonts w:asciiTheme="minorBidi" w:hAnsiTheme="minorBidi"/>
          <w:b/>
          <w:bCs/>
          <w:lang w:eastAsia="en-CA"/>
        </w:rPr>
      </w:pPr>
    </w:p>
    <w:p w14:paraId="0587DB2F" w14:textId="3300973E" w:rsidR="00C53E66" w:rsidRPr="009E7742" w:rsidRDefault="00102B9C" w:rsidP="00274CE7">
      <w:pPr>
        <w:rPr>
          <w:rFonts w:asciiTheme="minorBidi" w:hAnsiTheme="minorBidi"/>
          <w:color w:val="000000"/>
        </w:rPr>
      </w:pPr>
      <w:r w:rsidRPr="009E7742">
        <w:rPr>
          <w:rFonts w:asciiTheme="minorBidi" w:hAnsiTheme="minorBidi"/>
          <w:b/>
          <w:bCs/>
          <w:lang w:eastAsia="en-CA"/>
        </w:rPr>
        <w:t xml:space="preserve">Figure </w:t>
      </w:r>
      <w:r w:rsidR="009E7742" w:rsidRPr="009E7742">
        <w:rPr>
          <w:rFonts w:asciiTheme="minorBidi" w:hAnsiTheme="minorBidi"/>
          <w:b/>
          <w:bCs/>
          <w:lang w:eastAsia="en-CA"/>
        </w:rPr>
        <w:t>8</w:t>
      </w:r>
      <w:r w:rsidRPr="009E7742">
        <w:rPr>
          <w:rFonts w:asciiTheme="minorBidi" w:hAnsiTheme="minorBidi"/>
          <w:b/>
          <w:bCs/>
          <w:lang w:eastAsia="en-CA"/>
        </w:rPr>
        <w:t>.</w:t>
      </w:r>
      <w:r w:rsidRPr="009E7742">
        <w:rPr>
          <w:rFonts w:asciiTheme="minorBidi" w:hAnsiTheme="minorBidi"/>
          <w:lang w:eastAsia="en-CA"/>
        </w:rPr>
        <w:t xml:space="preserve"> </w:t>
      </w:r>
      <w:r w:rsidR="009E7742" w:rsidRPr="009E7742">
        <w:rPr>
          <w:rFonts w:asciiTheme="minorBidi" w:hAnsiTheme="minorBidi"/>
          <w:color w:val="000000"/>
        </w:rPr>
        <w:t>California Energy Storage Alliance. Accessed August 6, 2022. https://www.storagealliance.org/.</w:t>
      </w:r>
    </w:p>
    <w:p w14:paraId="07DFD3DE" w14:textId="1D79B4A2" w:rsidR="00102B9C" w:rsidRPr="009E7742" w:rsidRDefault="00102B9C" w:rsidP="00274CE7">
      <w:pPr>
        <w:rPr>
          <w:rFonts w:asciiTheme="minorBidi" w:hAnsiTheme="minorBidi"/>
          <w:lang w:eastAsia="en-CA"/>
        </w:rPr>
      </w:pPr>
      <w:r w:rsidRPr="009E7742">
        <w:rPr>
          <w:rFonts w:asciiTheme="minorBidi" w:hAnsiTheme="minorBidi"/>
          <w:b/>
          <w:bCs/>
          <w:lang w:eastAsia="en-CA"/>
        </w:rPr>
        <w:t xml:space="preserve">Figure </w:t>
      </w:r>
      <w:r w:rsidR="009E7742" w:rsidRPr="009E7742">
        <w:rPr>
          <w:rFonts w:asciiTheme="minorBidi" w:hAnsiTheme="minorBidi"/>
          <w:b/>
          <w:bCs/>
          <w:lang w:eastAsia="en-CA"/>
        </w:rPr>
        <w:t>9</w:t>
      </w:r>
      <w:r w:rsidRPr="009E7742">
        <w:rPr>
          <w:rFonts w:asciiTheme="minorBidi" w:hAnsiTheme="minorBidi"/>
          <w:b/>
          <w:bCs/>
          <w:lang w:eastAsia="en-CA"/>
        </w:rPr>
        <w:t>.</w:t>
      </w:r>
      <w:r w:rsidRPr="009E7742">
        <w:rPr>
          <w:rFonts w:asciiTheme="minorBidi" w:hAnsiTheme="minorBidi"/>
          <w:lang w:eastAsia="en-CA"/>
        </w:rPr>
        <w:t xml:space="preserve"> </w:t>
      </w:r>
      <w:r w:rsidR="009E7742" w:rsidRPr="009E7742">
        <w:rPr>
          <w:rFonts w:asciiTheme="minorBidi" w:hAnsiTheme="minorBidi"/>
          <w:color w:val="000000"/>
        </w:rPr>
        <w:t>“Self-Generation Incentive Program (SGIP).” Blogs | Infinity Energy Inc., July 10, 2020. https://infinityenergy.com/blog/self-generation-incentive-program-sgip.</w:t>
      </w:r>
    </w:p>
    <w:p w14:paraId="29E7EE2D" w14:textId="77777777" w:rsidR="00C53E66" w:rsidRPr="00C53E66" w:rsidRDefault="00C53E66" w:rsidP="00C53E66">
      <w:pPr>
        <w:rPr>
          <w:lang w:eastAsia="en-CA"/>
        </w:rPr>
      </w:pPr>
    </w:p>
    <w:p w14:paraId="713570EB" w14:textId="77777777" w:rsidR="00D8208E" w:rsidRDefault="00D8208E">
      <w:pPr>
        <w:rPr>
          <w:rFonts w:ascii="Arial" w:eastAsia="Times New Roman" w:hAnsi="Arial" w:cs="Arial"/>
          <w:b/>
          <w:bCs/>
          <w:color w:val="000000"/>
          <w:sz w:val="56"/>
          <w:szCs w:val="56"/>
          <w:lang w:eastAsia="en-CA"/>
        </w:rPr>
      </w:pPr>
      <w:r>
        <w:br w:type="page"/>
      </w:r>
    </w:p>
    <w:p w14:paraId="75419C79" w14:textId="39322BE5" w:rsidR="003C41B7" w:rsidRPr="00E510A4" w:rsidRDefault="003C4143" w:rsidP="00EB3B9A">
      <w:pPr>
        <w:pStyle w:val="Heading1"/>
        <w:jc w:val="both"/>
        <w:sectPr w:rsidR="003C41B7" w:rsidRPr="00E510A4" w:rsidSect="00EB3B9A">
          <w:endnotePr>
            <w:numFmt w:val="decimal"/>
          </w:endnotePr>
          <w:type w:val="continuous"/>
          <w:pgSz w:w="12240" w:h="15840"/>
          <w:pgMar w:top="567" w:right="567" w:bottom="845" w:left="567" w:header="709" w:footer="397" w:gutter="0"/>
          <w:cols w:num="2" w:space="397"/>
          <w:docGrid w:linePitch="360"/>
        </w:sectPr>
      </w:pPr>
      <w:bookmarkStart w:id="5" w:name="_Toc110685477"/>
      <w:r>
        <w:lastRenderedPageBreak/>
        <w:t>Citation</w:t>
      </w:r>
      <w:bookmarkEnd w:id="5"/>
      <w:r w:rsidR="001E29E4">
        <w:t>s</w:t>
      </w:r>
    </w:p>
    <w:p w14:paraId="40A8BD97" w14:textId="77777777" w:rsidR="004D798B" w:rsidRDefault="004D798B" w:rsidP="003F4E63"/>
    <w:sectPr w:rsidR="004D798B" w:rsidSect="00EB3B9A">
      <w:endnotePr>
        <w:numFmt w:val="decimal"/>
      </w:endnotePr>
      <w:type w:val="continuous"/>
      <w:pgSz w:w="12240" w:h="15840"/>
      <w:pgMar w:top="567" w:right="567" w:bottom="845" w:left="567" w:header="709" w:footer="397"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6B08D" w14:textId="77777777" w:rsidR="009A0FA2" w:rsidRDefault="009A0FA2" w:rsidP="00AD442E">
      <w:pPr>
        <w:spacing w:after="0" w:line="240" w:lineRule="auto"/>
      </w:pPr>
      <w:r>
        <w:separator/>
      </w:r>
    </w:p>
  </w:endnote>
  <w:endnote w:type="continuationSeparator" w:id="0">
    <w:p w14:paraId="6D8410FB" w14:textId="77777777" w:rsidR="009A0FA2" w:rsidRDefault="009A0FA2" w:rsidP="00AD442E">
      <w:pPr>
        <w:spacing w:after="0" w:line="240" w:lineRule="auto"/>
      </w:pPr>
      <w:r>
        <w:continuationSeparator/>
      </w:r>
    </w:p>
  </w:endnote>
  <w:endnote w:type="continuationNotice" w:id="1">
    <w:p w14:paraId="68BB29D6" w14:textId="77777777" w:rsidR="009A0FA2" w:rsidRDefault="009A0FA2">
      <w:pPr>
        <w:spacing w:after="0" w:line="240" w:lineRule="auto"/>
      </w:pPr>
    </w:p>
  </w:endnote>
  <w:endnote w:id="2">
    <w:p w14:paraId="1F3A2662" w14:textId="4A2C2544" w:rsidR="0078287F" w:rsidRPr="00AD09DE" w:rsidRDefault="0078287F"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 xml:space="preserve">Jim Doyle, “Utility Giant Grew from Gold Rush Roots”, </w:t>
      </w:r>
      <w:r w:rsidRPr="00AD09DE">
        <w:rPr>
          <w:rFonts w:asciiTheme="minorBidi" w:eastAsia="Times New Roman" w:hAnsiTheme="minorBidi"/>
          <w:i/>
          <w:sz w:val="16"/>
          <w:szCs w:val="16"/>
        </w:rPr>
        <w:t xml:space="preserve">SFGate, </w:t>
      </w:r>
      <w:r w:rsidRPr="00AD09DE">
        <w:rPr>
          <w:rFonts w:asciiTheme="minorBidi" w:eastAsia="Times New Roman" w:hAnsiTheme="minorBidi"/>
          <w:sz w:val="16"/>
          <w:szCs w:val="16"/>
        </w:rPr>
        <w:t>April 7, 2001.</w:t>
      </w:r>
    </w:p>
  </w:endnote>
  <w:endnote w:id="3">
    <w:p w14:paraId="54028D88" w14:textId="049FA0F3" w:rsidR="0078287F" w:rsidRPr="00AD09DE" w:rsidRDefault="0078287F"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Pacific Gas and Electric Company: Company Profile, Last updated: 2022.</w:t>
      </w:r>
    </w:p>
  </w:endnote>
  <w:endnote w:id="4">
    <w:p w14:paraId="207CC6BC" w14:textId="0BF33CD8" w:rsidR="003721C1" w:rsidRPr="00AD09DE" w:rsidRDefault="003721C1"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Ibid.</w:t>
      </w:r>
    </w:p>
  </w:endnote>
  <w:endnote w:id="5">
    <w:p w14:paraId="1282F479" w14:textId="4EB5F3EC" w:rsidR="003721C1" w:rsidRPr="00AD09DE" w:rsidRDefault="003721C1"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 xml:space="preserve">Peter </w:t>
      </w:r>
      <w:proofErr w:type="spellStart"/>
      <w:r w:rsidRPr="00AD09DE">
        <w:rPr>
          <w:rFonts w:asciiTheme="minorBidi" w:eastAsia="Times New Roman" w:hAnsiTheme="minorBidi"/>
          <w:sz w:val="16"/>
          <w:szCs w:val="16"/>
        </w:rPr>
        <w:t>Eavis</w:t>
      </w:r>
      <w:proofErr w:type="spellEnd"/>
      <w:r w:rsidRPr="00AD09DE">
        <w:rPr>
          <w:rFonts w:asciiTheme="minorBidi" w:eastAsia="Times New Roman" w:hAnsiTheme="minorBidi"/>
          <w:sz w:val="16"/>
          <w:szCs w:val="16"/>
        </w:rPr>
        <w:t xml:space="preserve">, James </w:t>
      </w:r>
      <w:proofErr w:type="spellStart"/>
      <w:r w:rsidRPr="00AD09DE">
        <w:rPr>
          <w:rFonts w:asciiTheme="minorBidi" w:eastAsia="Times New Roman" w:hAnsiTheme="minorBidi"/>
          <w:sz w:val="16"/>
          <w:szCs w:val="16"/>
        </w:rPr>
        <w:t>Glanz</w:t>
      </w:r>
      <w:proofErr w:type="spellEnd"/>
      <w:r w:rsidRPr="00AD09DE">
        <w:rPr>
          <w:rFonts w:asciiTheme="minorBidi" w:eastAsia="Times New Roman" w:hAnsiTheme="minorBidi"/>
          <w:sz w:val="16"/>
          <w:szCs w:val="16"/>
        </w:rPr>
        <w:t xml:space="preserve">, Ivan Penn, “How PG&amp;E Ignored Fire Risks in Favor of Profits”, </w:t>
      </w:r>
      <w:r w:rsidRPr="00AD09DE">
        <w:rPr>
          <w:rFonts w:asciiTheme="minorBidi" w:eastAsia="Times New Roman" w:hAnsiTheme="minorBidi"/>
          <w:i/>
          <w:sz w:val="16"/>
          <w:szCs w:val="16"/>
        </w:rPr>
        <w:t xml:space="preserve">New York Times, </w:t>
      </w:r>
      <w:r w:rsidRPr="00AD09DE">
        <w:rPr>
          <w:rFonts w:asciiTheme="minorBidi" w:eastAsia="Times New Roman" w:hAnsiTheme="minorBidi"/>
          <w:sz w:val="16"/>
          <w:szCs w:val="16"/>
        </w:rPr>
        <w:t>March 18, 2021.</w:t>
      </w:r>
    </w:p>
  </w:endnote>
  <w:endnote w:id="6">
    <w:p w14:paraId="397BF5E6" w14:textId="0EE96B87" w:rsidR="003721C1" w:rsidRPr="00AD09DE" w:rsidRDefault="003721C1"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 xml:space="preserve">“PG&amp;E Is Charged With Manslaughter In A California Wildfire That Killed 4”, </w:t>
      </w:r>
      <w:r w:rsidRPr="00AD09DE">
        <w:rPr>
          <w:rFonts w:asciiTheme="minorBidi" w:eastAsia="Times New Roman" w:hAnsiTheme="minorBidi"/>
          <w:i/>
          <w:sz w:val="16"/>
          <w:szCs w:val="16"/>
        </w:rPr>
        <w:t xml:space="preserve">NPR, </w:t>
      </w:r>
      <w:r w:rsidRPr="00AD09DE">
        <w:rPr>
          <w:rFonts w:asciiTheme="minorBidi" w:eastAsia="Times New Roman" w:hAnsiTheme="minorBidi"/>
          <w:sz w:val="16"/>
          <w:szCs w:val="16"/>
        </w:rPr>
        <w:t>September 4, 2021.</w:t>
      </w:r>
    </w:p>
  </w:endnote>
  <w:endnote w:id="7">
    <w:p w14:paraId="4B0F14AE" w14:textId="7DBF3F37" w:rsidR="003721C1" w:rsidRPr="00AD09DE" w:rsidRDefault="003721C1"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 xml:space="preserve">Ivan Penn, “PG&amp;E Equipment is Blamed for Starting the Dixie Fire in Northern California”, </w:t>
      </w:r>
      <w:r w:rsidRPr="00AD09DE">
        <w:rPr>
          <w:rFonts w:asciiTheme="minorBidi" w:eastAsia="Times New Roman" w:hAnsiTheme="minorBidi"/>
          <w:i/>
          <w:sz w:val="16"/>
          <w:szCs w:val="16"/>
        </w:rPr>
        <w:t xml:space="preserve">New York Times, </w:t>
      </w:r>
      <w:r w:rsidRPr="00AD09DE">
        <w:rPr>
          <w:rFonts w:asciiTheme="minorBidi" w:eastAsia="Times New Roman" w:hAnsiTheme="minorBidi"/>
          <w:sz w:val="16"/>
          <w:szCs w:val="16"/>
        </w:rPr>
        <w:t>January 4, 2022.</w:t>
      </w:r>
    </w:p>
  </w:endnote>
  <w:endnote w:id="8">
    <w:p w14:paraId="0BB477F0" w14:textId="762A190E" w:rsidR="003721C1" w:rsidRPr="00AD09DE" w:rsidRDefault="003721C1"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 xml:space="preserve">Emma </w:t>
      </w:r>
      <w:proofErr w:type="spellStart"/>
      <w:r w:rsidRPr="00AD09DE">
        <w:rPr>
          <w:rFonts w:asciiTheme="minorBidi" w:eastAsia="Times New Roman" w:hAnsiTheme="minorBidi"/>
          <w:sz w:val="16"/>
          <w:szCs w:val="16"/>
        </w:rPr>
        <w:t>Newburger</w:t>
      </w:r>
      <w:proofErr w:type="spellEnd"/>
      <w:r w:rsidRPr="00AD09DE">
        <w:rPr>
          <w:rFonts w:asciiTheme="minorBidi" w:eastAsia="Times New Roman" w:hAnsiTheme="minorBidi"/>
          <w:sz w:val="16"/>
          <w:szCs w:val="16"/>
        </w:rPr>
        <w:t>, “</w:t>
      </w:r>
      <w:proofErr w:type="spellStart"/>
      <w:r w:rsidRPr="00AD09DE">
        <w:rPr>
          <w:rFonts w:asciiTheme="minorBidi" w:eastAsia="Times New Roman" w:hAnsiTheme="minorBidi"/>
          <w:sz w:val="16"/>
          <w:szCs w:val="16"/>
        </w:rPr>
        <w:t>Californa</w:t>
      </w:r>
      <w:proofErr w:type="spellEnd"/>
      <w:r w:rsidRPr="00AD09DE">
        <w:rPr>
          <w:rFonts w:asciiTheme="minorBidi" w:eastAsia="Times New Roman" w:hAnsiTheme="minorBidi"/>
          <w:sz w:val="16"/>
          <w:szCs w:val="16"/>
        </w:rPr>
        <w:t xml:space="preserve"> Finds PG&amp;E Equipment Responsible for Massive Dixie Fire”, </w:t>
      </w:r>
      <w:r w:rsidRPr="00AD09DE">
        <w:rPr>
          <w:rFonts w:asciiTheme="minorBidi" w:eastAsia="Times New Roman" w:hAnsiTheme="minorBidi"/>
          <w:i/>
          <w:sz w:val="16"/>
          <w:szCs w:val="16"/>
        </w:rPr>
        <w:t xml:space="preserve">CNBC, </w:t>
      </w:r>
      <w:r w:rsidRPr="00AD09DE">
        <w:rPr>
          <w:rFonts w:asciiTheme="minorBidi" w:eastAsia="Times New Roman" w:hAnsiTheme="minorBidi"/>
          <w:sz w:val="16"/>
          <w:szCs w:val="16"/>
        </w:rPr>
        <w:t>January 5, 2022.</w:t>
      </w:r>
    </w:p>
  </w:endnote>
  <w:endnote w:id="9">
    <w:p w14:paraId="7E4FDD27" w14:textId="2958D188" w:rsidR="003721C1" w:rsidRPr="00AD09DE" w:rsidRDefault="003721C1" w:rsidP="00240993">
      <w:pPr>
        <w:pStyle w:val="Foot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The American Clean Power Association. January 5</w:t>
      </w:r>
      <w:r w:rsidRPr="00AD09DE">
        <w:rPr>
          <w:rFonts w:asciiTheme="minorBidi" w:hAnsiTheme="minorBidi"/>
          <w:sz w:val="16"/>
          <w:szCs w:val="16"/>
          <w:vertAlign w:val="superscript"/>
        </w:rPr>
        <w:t>th</w:t>
      </w:r>
      <w:r w:rsidRPr="00AD09DE">
        <w:rPr>
          <w:rFonts w:asciiTheme="minorBidi" w:hAnsiTheme="minorBidi"/>
          <w:sz w:val="16"/>
          <w:szCs w:val="16"/>
        </w:rPr>
        <w:t>, 2022. https://energystorage.org/why-energy-storage/</w:t>
      </w:r>
    </w:p>
  </w:endnote>
  <w:endnote w:id="10">
    <w:p w14:paraId="5A07950D" w14:textId="5E984A20" w:rsidR="009D4998" w:rsidRPr="00AD09DE" w:rsidRDefault="009D4998"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 xml:space="preserve">Nicholas Iovino, “PG&amp;E files for bankruptcy, citing wildfire liabilities,” </w:t>
      </w:r>
      <w:r w:rsidRPr="00AD09DE">
        <w:rPr>
          <w:rFonts w:asciiTheme="minorBidi" w:eastAsia="Times New Roman" w:hAnsiTheme="minorBidi"/>
          <w:i/>
          <w:sz w:val="16"/>
          <w:szCs w:val="16"/>
        </w:rPr>
        <w:t>Courthouse News Service</w:t>
      </w:r>
      <w:r w:rsidRPr="00AD09DE">
        <w:rPr>
          <w:rFonts w:asciiTheme="minorBidi" w:eastAsia="Times New Roman" w:hAnsiTheme="minorBidi"/>
          <w:sz w:val="16"/>
          <w:szCs w:val="16"/>
        </w:rPr>
        <w:t>, January 14, 2019</w:t>
      </w:r>
    </w:p>
  </w:endnote>
  <w:endnote w:id="11">
    <w:p w14:paraId="56F80B6E" w14:textId="3AD71315" w:rsidR="009D4998" w:rsidRPr="00AD09DE" w:rsidRDefault="009D4998"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 xml:space="preserve">Sharon Bernstein, “PG&amp;E files for bankruptcy as California wildfire liabilities loom,” </w:t>
      </w:r>
      <w:r w:rsidRPr="00AD09DE">
        <w:rPr>
          <w:rFonts w:asciiTheme="minorBidi" w:eastAsia="Times New Roman" w:hAnsiTheme="minorBidi"/>
          <w:i/>
          <w:sz w:val="16"/>
          <w:szCs w:val="16"/>
        </w:rPr>
        <w:t>Reuters</w:t>
      </w:r>
      <w:r w:rsidRPr="00AD09DE">
        <w:rPr>
          <w:rFonts w:asciiTheme="minorBidi" w:eastAsia="Times New Roman" w:hAnsiTheme="minorBidi"/>
          <w:sz w:val="16"/>
          <w:szCs w:val="16"/>
        </w:rPr>
        <w:t>, January 29, 2019.</w:t>
      </w:r>
    </w:p>
  </w:endnote>
  <w:endnote w:id="12">
    <w:p w14:paraId="535779A9" w14:textId="761902A0" w:rsidR="009D4998" w:rsidRPr="00AD09DE" w:rsidRDefault="009D4998"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eastAsia="Times New Roman" w:hAnsiTheme="minorBidi"/>
          <w:sz w:val="16"/>
          <w:szCs w:val="16"/>
        </w:rPr>
        <w:t xml:space="preserve"> Bhargav Acharya, “Bankrupt PG&amp;E reaches $13.5 billion settlement with California wildfire victims,” </w:t>
      </w:r>
      <w:r w:rsidRPr="00AD09DE">
        <w:rPr>
          <w:rFonts w:asciiTheme="minorBidi" w:eastAsia="Times New Roman" w:hAnsiTheme="minorBidi"/>
          <w:i/>
          <w:sz w:val="16"/>
          <w:szCs w:val="16"/>
        </w:rPr>
        <w:t>Reuters</w:t>
      </w:r>
      <w:r w:rsidRPr="00AD09DE">
        <w:rPr>
          <w:rFonts w:asciiTheme="minorBidi" w:eastAsia="Times New Roman" w:hAnsiTheme="minorBidi"/>
          <w:sz w:val="16"/>
          <w:szCs w:val="16"/>
        </w:rPr>
        <w:t>, December 6, 2019.</w:t>
      </w:r>
      <w:r w:rsidRPr="00AD09DE">
        <w:rPr>
          <w:rFonts w:asciiTheme="minorBidi" w:hAnsiTheme="minorBidi"/>
          <w:sz w:val="16"/>
          <w:szCs w:val="16"/>
        </w:rPr>
        <w:t xml:space="preserve"> </w:t>
      </w:r>
    </w:p>
  </w:endnote>
  <w:endnote w:id="13">
    <w:p w14:paraId="6713DFAF" w14:textId="57A86D28" w:rsidR="009D4998" w:rsidRPr="00AD09DE" w:rsidRDefault="009D4998" w:rsidP="00240993">
      <w:pPr>
        <w:spacing w:before="120" w:after="0" w:line="240" w:lineRule="auto"/>
        <w:rPr>
          <w:rFonts w:asciiTheme="minorBidi" w:eastAsia="Times New Roman" w:hAnsiTheme="minorBidi"/>
          <w:sz w:val="16"/>
          <w:szCs w:val="16"/>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Fire Victim Trust, “Claimant information guide,” January 10, 2021, https://www.firevictimtrust.com/Docs/FAQs.pdf.</w:t>
      </w:r>
    </w:p>
  </w:endnote>
  <w:endnote w:id="14">
    <w:p w14:paraId="306801E8" w14:textId="3786EE0C" w:rsidR="009D4998" w:rsidRPr="00AD09DE" w:rsidRDefault="009D4998"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Fitch Ratings: Credit Ratings &amp; Analysis for Financial Markets, accessed March 24, 2022, https://www.fitchratings.com/research/corporate-finance/fitch-rates-pacific-gas-electric-co-fmbs-bbb-rr1-08-03-2021#:~:text=PG%26E%27s%20Issuer%20Default%20Rating%20is.</w:t>
      </w:r>
    </w:p>
  </w:endnote>
  <w:endnote w:id="15">
    <w:p w14:paraId="1F87DFF4" w14:textId="41E84880" w:rsidR="009D4998" w:rsidRPr="00AD09DE" w:rsidRDefault="009D4998"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“Rating Definitions,” Fitch Ratings, accessed March 24, 2022, https://www.fitchratings.com/products/rating-definitions#about-rating-definitions.</w:t>
      </w:r>
    </w:p>
  </w:endnote>
  <w:endnote w:id="16">
    <w:p w14:paraId="12159421" w14:textId="3C2AAD4D" w:rsidR="009D4998" w:rsidRPr="00AD09DE" w:rsidRDefault="009D4998"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PG&amp;E Corporation, “2020 Third Quarter Earnings.”</w:t>
      </w:r>
    </w:p>
  </w:endnote>
  <w:endnote w:id="17">
    <w:p w14:paraId="6FC3263A" w14:textId="22D14475" w:rsidR="009D4998" w:rsidRPr="00AD09DE" w:rsidRDefault="009D4998" w:rsidP="00240993">
      <w:pPr>
        <w:spacing w:before="120" w:after="0" w:line="240" w:lineRule="auto"/>
        <w:rPr>
          <w:rFonts w:asciiTheme="minorBidi" w:eastAsia="Times New Roman" w:hAnsiTheme="minorBidi"/>
          <w:sz w:val="16"/>
          <w:szCs w:val="16"/>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3E2CEA" w:rsidRPr="00AD09DE">
        <w:rPr>
          <w:rFonts w:asciiTheme="minorBidi" w:eastAsia="Times New Roman" w:hAnsiTheme="minorBidi"/>
          <w:sz w:val="16"/>
          <w:szCs w:val="16"/>
        </w:rPr>
        <w:t>California State Association of Counties, “Inverse condemnation and utility liability,” http://www.counties.org/sites/main/files/fileattachments/csac_issue_brief_inverse_condemnation_7-25-18.pdf.</w:t>
      </w:r>
    </w:p>
  </w:endnote>
  <w:endnote w:id="18">
    <w:p w14:paraId="71C65CAE" w14:textId="6F9CFCC2" w:rsidR="003E2CEA" w:rsidRPr="00AD09DE" w:rsidRDefault="003E2CEA"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Ibid.</w:t>
      </w:r>
    </w:p>
  </w:endnote>
  <w:endnote w:id="19">
    <w:p w14:paraId="4437515E" w14:textId="7314D635" w:rsidR="003E2CEA" w:rsidRPr="00AD09DE" w:rsidRDefault="003E2CEA"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 xml:space="preserve">Christopher Helman, “How the future of California’s power grid hangs on the constitutionality of ‘inverse condemnation,” </w:t>
      </w:r>
      <w:r w:rsidRPr="00AD09DE">
        <w:rPr>
          <w:rFonts w:asciiTheme="minorBidi" w:eastAsia="Times New Roman" w:hAnsiTheme="minorBidi"/>
          <w:i/>
          <w:sz w:val="16"/>
          <w:szCs w:val="16"/>
        </w:rPr>
        <w:t>Forbes Magazine</w:t>
      </w:r>
      <w:r w:rsidRPr="00AD09DE">
        <w:rPr>
          <w:rFonts w:asciiTheme="minorBidi" w:eastAsia="Times New Roman" w:hAnsiTheme="minorBidi"/>
          <w:sz w:val="16"/>
          <w:szCs w:val="16"/>
        </w:rPr>
        <w:t>, October 30, 2019.</w:t>
      </w:r>
    </w:p>
  </w:endnote>
  <w:endnote w:id="20">
    <w:p w14:paraId="1B688B46" w14:textId="50C1642B" w:rsidR="003E2CEA" w:rsidRPr="00AD09DE" w:rsidRDefault="003E2CEA"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proofErr w:type="spellStart"/>
      <w:r w:rsidRPr="00AD09DE">
        <w:rPr>
          <w:rFonts w:asciiTheme="minorBidi" w:eastAsia="Times New Roman" w:hAnsiTheme="minorBidi"/>
          <w:sz w:val="16"/>
          <w:szCs w:val="16"/>
        </w:rPr>
        <w:t>Danko</w:t>
      </w:r>
      <w:proofErr w:type="spellEnd"/>
      <w:r w:rsidRPr="00AD09DE">
        <w:rPr>
          <w:rFonts w:asciiTheme="minorBidi" w:eastAsia="Times New Roman" w:hAnsiTheme="minorBidi"/>
          <w:sz w:val="16"/>
          <w:szCs w:val="16"/>
        </w:rPr>
        <w:t xml:space="preserve"> Meredith Trial Lawyers, “inverse condemnation and PG&amp;E wildfires,” August 22, 2021, https://www.dankolaw.com/inverse-condemnation-and-pge-wildfires/.</w:t>
      </w:r>
    </w:p>
  </w:endnote>
  <w:endnote w:id="21">
    <w:p w14:paraId="3042C464" w14:textId="400A0D0F" w:rsidR="003E2CEA" w:rsidRPr="00AD09DE" w:rsidRDefault="003E2CEA"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 xml:space="preserve">Jeff St. John, “Post-bankruptcy PG&amp;E faces lawsuit for its role in causing the 2019 Kincade wildfire,” </w:t>
      </w:r>
      <w:r w:rsidRPr="00AD09DE">
        <w:rPr>
          <w:rFonts w:asciiTheme="minorBidi" w:eastAsia="Times New Roman" w:hAnsiTheme="minorBidi"/>
          <w:i/>
          <w:sz w:val="16"/>
          <w:szCs w:val="16"/>
        </w:rPr>
        <w:t>Green Tech Media</w:t>
      </w:r>
      <w:r w:rsidRPr="00AD09DE">
        <w:rPr>
          <w:rFonts w:asciiTheme="minorBidi" w:eastAsia="Times New Roman" w:hAnsiTheme="minorBidi"/>
          <w:sz w:val="16"/>
          <w:szCs w:val="16"/>
        </w:rPr>
        <w:t>, July 17, 2020.</w:t>
      </w:r>
    </w:p>
  </w:endnote>
  <w:endnote w:id="22">
    <w:p w14:paraId="086E28E1" w14:textId="786B2D9C" w:rsidR="003E2CEA" w:rsidRPr="00AD09DE" w:rsidRDefault="003E2CEA"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I</w:t>
      </w:r>
      <w:r w:rsidRPr="00AD09DE">
        <w:rPr>
          <w:rFonts w:asciiTheme="minorBidi" w:eastAsia="Times New Roman" w:hAnsiTheme="minorBidi"/>
          <w:sz w:val="16"/>
          <w:szCs w:val="16"/>
        </w:rPr>
        <w:t>bid.</w:t>
      </w:r>
    </w:p>
  </w:endnote>
  <w:endnote w:id="23">
    <w:p w14:paraId="707C7CFE" w14:textId="13B982C8" w:rsidR="003E2CEA" w:rsidRPr="00AD09DE" w:rsidRDefault="003E2CEA"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proofErr w:type="spellStart"/>
      <w:r w:rsidRPr="00AD09DE">
        <w:rPr>
          <w:rFonts w:asciiTheme="minorBidi" w:eastAsia="Times New Roman" w:hAnsiTheme="minorBidi"/>
          <w:sz w:val="16"/>
          <w:szCs w:val="16"/>
        </w:rPr>
        <w:t>Mallika</w:t>
      </w:r>
      <w:proofErr w:type="spellEnd"/>
      <w:r w:rsidRPr="00AD09DE">
        <w:rPr>
          <w:rFonts w:asciiTheme="minorBidi" w:eastAsia="Times New Roman" w:hAnsiTheme="minorBidi"/>
          <w:sz w:val="16"/>
          <w:szCs w:val="16"/>
        </w:rPr>
        <w:t xml:space="preserve"> </w:t>
      </w:r>
      <w:proofErr w:type="spellStart"/>
      <w:r w:rsidRPr="00AD09DE">
        <w:rPr>
          <w:rFonts w:asciiTheme="minorBidi" w:eastAsia="Times New Roman" w:hAnsiTheme="minorBidi"/>
          <w:sz w:val="16"/>
          <w:szCs w:val="16"/>
        </w:rPr>
        <w:t>Kallingal</w:t>
      </w:r>
      <w:proofErr w:type="spellEnd"/>
      <w:r w:rsidRPr="00AD09DE">
        <w:rPr>
          <w:rFonts w:asciiTheme="minorBidi" w:eastAsia="Times New Roman" w:hAnsiTheme="minorBidi"/>
          <w:sz w:val="16"/>
          <w:szCs w:val="16"/>
        </w:rPr>
        <w:t xml:space="preserve"> and Stella Chan, “Pacific Gas &amp; Electric fined $125 million for 2019 Kincade fire,” </w:t>
      </w:r>
      <w:r w:rsidRPr="00AD09DE">
        <w:rPr>
          <w:rFonts w:asciiTheme="minorBidi" w:eastAsia="Times New Roman" w:hAnsiTheme="minorBidi"/>
          <w:i/>
          <w:sz w:val="16"/>
          <w:szCs w:val="16"/>
        </w:rPr>
        <w:t>CNN</w:t>
      </w:r>
      <w:r w:rsidRPr="00AD09DE">
        <w:rPr>
          <w:rFonts w:asciiTheme="minorBidi" w:eastAsia="Times New Roman" w:hAnsiTheme="minorBidi"/>
          <w:sz w:val="16"/>
          <w:szCs w:val="16"/>
        </w:rPr>
        <w:t>, December 3, 2021.</w:t>
      </w:r>
    </w:p>
  </w:endnote>
  <w:endnote w:id="24">
    <w:p w14:paraId="5C8D9442" w14:textId="208EBDED" w:rsidR="003E2CEA" w:rsidRPr="00AD09DE" w:rsidRDefault="003E2CEA"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 xml:space="preserve">Sarah Moon and Stella Chan, “PG&amp;E charged with manslaughter over 2020 </w:t>
      </w:r>
      <w:proofErr w:type="spellStart"/>
      <w:r w:rsidRPr="00AD09DE">
        <w:rPr>
          <w:rFonts w:asciiTheme="minorBidi" w:eastAsia="Times New Roman" w:hAnsiTheme="minorBidi"/>
          <w:sz w:val="16"/>
          <w:szCs w:val="16"/>
        </w:rPr>
        <w:t>Zogg</w:t>
      </w:r>
      <w:proofErr w:type="spellEnd"/>
      <w:r w:rsidRPr="00AD09DE">
        <w:rPr>
          <w:rFonts w:asciiTheme="minorBidi" w:eastAsia="Times New Roman" w:hAnsiTheme="minorBidi"/>
          <w:sz w:val="16"/>
          <w:szCs w:val="16"/>
        </w:rPr>
        <w:t xml:space="preserve"> Fire, which killed 4 people,” </w:t>
      </w:r>
      <w:r w:rsidRPr="00AD09DE">
        <w:rPr>
          <w:rFonts w:asciiTheme="minorBidi" w:eastAsia="Times New Roman" w:hAnsiTheme="minorBidi"/>
          <w:i/>
          <w:sz w:val="16"/>
          <w:szCs w:val="16"/>
        </w:rPr>
        <w:t>CNN</w:t>
      </w:r>
      <w:r w:rsidRPr="00AD09DE">
        <w:rPr>
          <w:rFonts w:asciiTheme="minorBidi" w:eastAsia="Times New Roman" w:hAnsiTheme="minorBidi"/>
          <w:sz w:val="16"/>
          <w:szCs w:val="16"/>
        </w:rPr>
        <w:t>, September 24, 2021.</w:t>
      </w:r>
    </w:p>
  </w:endnote>
  <w:endnote w:id="25">
    <w:p w14:paraId="549A62B1" w14:textId="4DDA9D29" w:rsidR="003E2CEA" w:rsidRPr="00AD09DE" w:rsidRDefault="003E2CEA"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Ibid.</w:t>
      </w:r>
    </w:p>
  </w:endnote>
  <w:endnote w:id="26">
    <w:p w14:paraId="2A17C9FF" w14:textId="12779A5A" w:rsidR="003E2CEA" w:rsidRPr="00AD09DE" w:rsidRDefault="003E2CEA" w:rsidP="00D700EB">
      <w:pPr>
        <w:spacing w:before="120" w:after="0" w:line="23" w:lineRule="atLeast"/>
        <w:jc w:val="both"/>
        <w:rPr>
          <w:rFonts w:asciiTheme="minorBidi" w:eastAsia="Times New Roman" w:hAnsiTheme="minorBidi"/>
          <w:sz w:val="16"/>
          <w:szCs w:val="16"/>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Scott Rodd, “PG&amp;E Could Be the First Utility to Access California's Wildfire Liability Fund after Starting Dixie Fire,” CapRadio, accessed March 24, 2022, https://www.capradio.org/articles/2022/01/06/pge-could-be-the-first-utility-to-access-californias-wildfire-liability-fund-after-starting-dixie-fire/.</w:t>
      </w:r>
    </w:p>
  </w:endnote>
  <w:endnote w:id="27">
    <w:p w14:paraId="58C37828" w14:textId="096A7B9B" w:rsidR="003E2CEA" w:rsidRPr="00AD09DE" w:rsidRDefault="003E2CEA"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BC0C52" w:rsidRPr="00AD09DE">
        <w:rPr>
          <w:rFonts w:asciiTheme="minorBidi" w:eastAsia="Times New Roman" w:hAnsiTheme="minorBidi"/>
          <w:sz w:val="16"/>
          <w:szCs w:val="16"/>
        </w:rPr>
        <w:t>Fitch Ratings: Credit Ratings &amp; Analysis for Financial Markets, accessed March 24, 2022, https://www.fitchratings.com/research/corporate-finance/fitch-rates-pacific-gas-electric-co-fmbs-bbb-rr1-08-03-2021#:~:text=PG%26E%27s%20Issuer%20Default%20Rating%20is.</w:t>
      </w:r>
    </w:p>
  </w:endnote>
  <w:endnote w:id="28">
    <w:p w14:paraId="29DF2D42" w14:textId="5FC523F6" w:rsidR="00BC0C52" w:rsidRPr="00AD09DE" w:rsidRDefault="00BC0C52"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 xml:space="preserve">Christopher Helman, “How the future of California’s power grid hangs on the constitutionality of ‘inverse condemnation,” </w:t>
      </w:r>
      <w:r w:rsidRPr="00AD09DE">
        <w:rPr>
          <w:rFonts w:asciiTheme="minorBidi" w:eastAsia="Times New Roman" w:hAnsiTheme="minorBidi"/>
          <w:i/>
          <w:sz w:val="16"/>
          <w:szCs w:val="16"/>
        </w:rPr>
        <w:t>Forbes Magazine</w:t>
      </w:r>
      <w:r w:rsidRPr="00AD09DE">
        <w:rPr>
          <w:rFonts w:asciiTheme="minorBidi" w:eastAsia="Times New Roman" w:hAnsiTheme="minorBidi"/>
          <w:sz w:val="16"/>
          <w:szCs w:val="16"/>
        </w:rPr>
        <w:t>, October 30, 2019.</w:t>
      </w:r>
    </w:p>
  </w:endnote>
  <w:endnote w:id="29">
    <w:p w14:paraId="04707BE4" w14:textId="3ED88462" w:rsidR="00BC0C52" w:rsidRPr="00AD09DE" w:rsidRDefault="00BC0C52"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I</w:t>
      </w:r>
      <w:r w:rsidRPr="00AD09DE">
        <w:rPr>
          <w:rFonts w:asciiTheme="minorBidi" w:eastAsia="Times New Roman" w:hAnsiTheme="minorBidi"/>
          <w:sz w:val="16"/>
          <w:szCs w:val="16"/>
        </w:rPr>
        <w:t>bid.</w:t>
      </w:r>
    </w:p>
  </w:endnote>
  <w:endnote w:id="30">
    <w:p w14:paraId="4189E27F" w14:textId="03E986B6" w:rsidR="00BC0C52" w:rsidRPr="00AD09DE" w:rsidRDefault="00BC0C52"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 xml:space="preserve">PG&amp;E Corporation, </w:t>
      </w:r>
      <w:r w:rsidRPr="00AD09DE">
        <w:rPr>
          <w:rFonts w:asciiTheme="minorBidi" w:eastAsia="Times New Roman" w:hAnsiTheme="minorBidi"/>
          <w:color w:val="2C3E50"/>
          <w:sz w:val="16"/>
          <w:szCs w:val="16"/>
        </w:rPr>
        <w:t>“Risk Management - PG&amp;E Corporate Responsibility and Sustainability Report 2018.”</w:t>
      </w:r>
    </w:p>
  </w:endnote>
  <w:endnote w:id="31">
    <w:p w14:paraId="4E90844C" w14:textId="72FEAB21" w:rsidR="00BC0C52" w:rsidRPr="00AD09DE" w:rsidRDefault="00BC0C52"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hAnsiTheme="minorBidi"/>
          <w:color w:val="000000"/>
          <w:sz w:val="16"/>
          <w:szCs w:val="16"/>
          <w:shd w:val="clear" w:color="auto" w:fill="FFFFFF"/>
        </w:rPr>
        <w:t>Lagos, Marisa. 2019. "Californians Are Angry At PG&amp;E Over Blackouts — And They’re Not Sparing Newsom". </w:t>
      </w:r>
      <w:r w:rsidRPr="00AD09DE">
        <w:rPr>
          <w:rFonts w:asciiTheme="minorBidi" w:hAnsiTheme="minorBidi"/>
          <w:i/>
          <w:iCs/>
          <w:color w:val="000000"/>
          <w:sz w:val="16"/>
          <w:szCs w:val="16"/>
          <w:shd w:val="clear" w:color="auto" w:fill="FFFFFF"/>
        </w:rPr>
        <w:t>KQED</w:t>
      </w:r>
      <w:r w:rsidRPr="00AD09DE">
        <w:rPr>
          <w:rFonts w:asciiTheme="minorBidi" w:hAnsiTheme="minorBidi"/>
          <w:color w:val="000000"/>
          <w:sz w:val="16"/>
          <w:szCs w:val="16"/>
          <w:shd w:val="clear" w:color="auto" w:fill="FFFFFF"/>
        </w:rPr>
        <w:t>. https://www.kqed.org/news/11782081/poll-shows-anger-at-pge-gavin-newsom-over-blackouts.</w:t>
      </w:r>
    </w:p>
  </w:endnote>
  <w:endnote w:id="32">
    <w:p w14:paraId="48031BC8" w14:textId="017747CB" w:rsidR="00BC0C52" w:rsidRPr="00AD09DE" w:rsidRDefault="00BC0C52"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hAnsiTheme="minorBidi"/>
          <w:color w:val="000000"/>
          <w:sz w:val="16"/>
          <w:szCs w:val="16"/>
          <w:shd w:val="clear" w:color="auto" w:fill="FFFFFF"/>
        </w:rPr>
        <w:t>"Home - Change Research". 2022. </w:t>
      </w:r>
      <w:r w:rsidRPr="00AD09DE">
        <w:rPr>
          <w:rFonts w:asciiTheme="minorBidi" w:hAnsiTheme="minorBidi"/>
          <w:i/>
          <w:iCs/>
          <w:color w:val="000000"/>
          <w:sz w:val="16"/>
          <w:szCs w:val="16"/>
          <w:shd w:val="clear" w:color="auto" w:fill="FFFFFF"/>
        </w:rPr>
        <w:t>Change Research</w:t>
      </w:r>
      <w:r w:rsidRPr="00AD09DE">
        <w:rPr>
          <w:rFonts w:asciiTheme="minorBidi" w:hAnsiTheme="minorBidi"/>
          <w:color w:val="000000"/>
          <w:sz w:val="16"/>
          <w:szCs w:val="16"/>
          <w:shd w:val="clear" w:color="auto" w:fill="FFFFFF"/>
        </w:rPr>
        <w:t>. https://changeresearch.com/.</w:t>
      </w:r>
    </w:p>
  </w:endnote>
  <w:endnote w:id="33">
    <w:p w14:paraId="63E6090F" w14:textId="4FA6204B" w:rsidR="00BC0C52" w:rsidRPr="00AD09DE" w:rsidRDefault="00BC0C52"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hAnsiTheme="minorBidi"/>
          <w:color w:val="000000"/>
          <w:sz w:val="16"/>
          <w:szCs w:val="16"/>
          <w:shd w:val="clear" w:color="auto" w:fill="FFFFFF"/>
        </w:rPr>
        <w:t>Lagos, Marisa. 2019. "Californians Are Angry At PG&amp;E Over Blackouts — And They’re Not Sparing Newsom". </w:t>
      </w:r>
      <w:r w:rsidRPr="00AD09DE">
        <w:rPr>
          <w:rFonts w:asciiTheme="minorBidi" w:hAnsiTheme="minorBidi"/>
          <w:i/>
          <w:iCs/>
          <w:color w:val="000000"/>
          <w:sz w:val="16"/>
          <w:szCs w:val="16"/>
          <w:shd w:val="clear" w:color="auto" w:fill="FFFFFF"/>
        </w:rPr>
        <w:t>KQED</w:t>
      </w:r>
      <w:r w:rsidRPr="00AD09DE">
        <w:rPr>
          <w:rFonts w:asciiTheme="minorBidi" w:hAnsiTheme="minorBidi"/>
          <w:color w:val="000000"/>
          <w:sz w:val="16"/>
          <w:szCs w:val="16"/>
          <w:shd w:val="clear" w:color="auto" w:fill="FFFFFF"/>
        </w:rPr>
        <w:t>.</w:t>
      </w:r>
    </w:p>
  </w:endnote>
  <w:endnote w:id="34">
    <w:p w14:paraId="0BB72819" w14:textId="43E600B0" w:rsidR="00BC0C52" w:rsidRPr="00AD09DE" w:rsidRDefault="00BC0C52"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Ibid.</w:t>
      </w:r>
    </w:p>
  </w:endnote>
  <w:endnote w:id="35">
    <w:p w14:paraId="21B5444B" w14:textId="51359C6E" w:rsidR="00BC0C52" w:rsidRPr="00AD09DE" w:rsidRDefault="00BC0C52"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hAnsiTheme="minorBidi"/>
          <w:color w:val="000000"/>
          <w:sz w:val="16"/>
          <w:szCs w:val="16"/>
          <w:shd w:val="clear" w:color="auto" w:fill="FFFFFF"/>
        </w:rPr>
        <w:t>Luna, Taryn. 2019. "Californians Want To End PG&amp;E's Operations As They Exist Now, New Poll Says". </w:t>
      </w:r>
      <w:r w:rsidRPr="00AD09DE">
        <w:rPr>
          <w:rFonts w:asciiTheme="minorBidi" w:hAnsiTheme="minorBidi"/>
          <w:i/>
          <w:iCs/>
          <w:color w:val="000000"/>
          <w:sz w:val="16"/>
          <w:szCs w:val="16"/>
          <w:shd w:val="clear" w:color="auto" w:fill="FFFFFF"/>
        </w:rPr>
        <w:t>Los Angeles Times</w:t>
      </w:r>
      <w:r w:rsidRPr="00AD09DE">
        <w:rPr>
          <w:rFonts w:asciiTheme="minorBidi" w:hAnsiTheme="minorBidi"/>
          <w:color w:val="000000"/>
          <w:sz w:val="16"/>
          <w:szCs w:val="16"/>
          <w:shd w:val="clear" w:color="auto" w:fill="FFFFFF"/>
        </w:rPr>
        <w:t>. https://www.latimes.com/california/story/2019-12-10/poll-californians-pge-operations.</w:t>
      </w:r>
    </w:p>
  </w:endnote>
  <w:endnote w:id="36">
    <w:p w14:paraId="466BF72C" w14:textId="134E9025" w:rsidR="00BC0C52" w:rsidRPr="00AD09DE" w:rsidRDefault="00BC0C52"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proofErr w:type="spellStart"/>
      <w:r w:rsidRPr="00AD09DE">
        <w:rPr>
          <w:rFonts w:asciiTheme="minorBidi" w:hAnsiTheme="minorBidi"/>
          <w:color w:val="000000"/>
          <w:sz w:val="16"/>
          <w:szCs w:val="16"/>
          <w:shd w:val="clear" w:color="auto" w:fill="FFFFFF"/>
        </w:rPr>
        <w:t>Brinklow</w:t>
      </w:r>
      <w:proofErr w:type="spellEnd"/>
      <w:r w:rsidRPr="00AD09DE">
        <w:rPr>
          <w:rFonts w:asciiTheme="minorBidi" w:hAnsiTheme="minorBidi"/>
          <w:color w:val="000000"/>
          <w:sz w:val="16"/>
          <w:szCs w:val="16"/>
          <w:shd w:val="clear" w:color="auto" w:fill="FFFFFF"/>
        </w:rPr>
        <w:t>, Adam. 2019. "90 Percent Of Bay Area Residents Wants To Get Rid Of PG&amp;E, Says Poll". </w:t>
      </w:r>
      <w:r w:rsidRPr="00AD09DE">
        <w:rPr>
          <w:rFonts w:asciiTheme="minorBidi" w:hAnsiTheme="minorBidi"/>
          <w:i/>
          <w:iCs/>
          <w:color w:val="000000"/>
          <w:sz w:val="16"/>
          <w:szCs w:val="16"/>
          <w:shd w:val="clear" w:color="auto" w:fill="FFFFFF"/>
        </w:rPr>
        <w:t>Curbed SF</w:t>
      </w:r>
      <w:r w:rsidRPr="00AD09DE">
        <w:rPr>
          <w:rFonts w:asciiTheme="minorBidi" w:hAnsiTheme="minorBidi"/>
          <w:color w:val="000000"/>
          <w:sz w:val="16"/>
          <w:szCs w:val="16"/>
          <w:shd w:val="clear" w:color="auto" w:fill="FFFFFF"/>
        </w:rPr>
        <w:t>. https://sf.curbed.com/2019/12/10/21005182/uc-berkeley-poll-pge-fires-blackout-breakup.</w:t>
      </w:r>
    </w:p>
  </w:endnote>
  <w:endnote w:id="37">
    <w:p w14:paraId="2596D93C" w14:textId="118767E7" w:rsidR="00BC0C52" w:rsidRPr="00AD09DE" w:rsidRDefault="00BC0C52" w:rsidP="00D700EB">
      <w:pPr>
        <w:spacing w:before="120" w:after="0" w:line="23" w:lineRule="atLeast"/>
        <w:jc w:val="both"/>
        <w:rPr>
          <w:rFonts w:asciiTheme="minorBidi" w:hAnsiTheme="minorBidi"/>
          <w:color w:val="000000"/>
          <w:sz w:val="16"/>
          <w:szCs w:val="16"/>
          <w:shd w:val="clear" w:color="auto" w:fill="FFFFFF"/>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hAnsiTheme="minorBidi"/>
          <w:color w:val="000000"/>
          <w:sz w:val="16"/>
          <w:szCs w:val="16"/>
          <w:shd w:val="clear" w:color="auto" w:fill="FFFFFF"/>
        </w:rPr>
        <w:t>Luna, Taryn. 2019. "Californians Want To End PG&amp;E's Operations As They Exist Now, New Poll Says". </w:t>
      </w:r>
      <w:r w:rsidRPr="00AD09DE">
        <w:rPr>
          <w:rFonts w:asciiTheme="minorBidi" w:hAnsiTheme="minorBidi"/>
          <w:i/>
          <w:iCs/>
          <w:color w:val="000000"/>
          <w:sz w:val="16"/>
          <w:szCs w:val="16"/>
          <w:shd w:val="clear" w:color="auto" w:fill="FFFFFF"/>
        </w:rPr>
        <w:t>Los Angeles Times</w:t>
      </w:r>
      <w:r w:rsidRPr="00AD09DE">
        <w:rPr>
          <w:rFonts w:asciiTheme="minorBidi" w:hAnsiTheme="minorBidi"/>
          <w:color w:val="000000"/>
          <w:sz w:val="16"/>
          <w:szCs w:val="16"/>
          <w:shd w:val="clear" w:color="auto" w:fill="FFFFFF"/>
        </w:rPr>
        <w:t xml:space="preserve">. </w:t>
      </w:r>
    </w:p>
  </w:endnote>
  <w:endnote w:id="38">
    <w:p w14:paraId="3E199B44" w14:textId="0A76CD69" w:rsidR="00BC0C52" w:rsidRPr="00AD09DE" w:rsidRDefault="00BC0C52"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Ibid.</w:t>
      </w:r>
    </w:p>
  </w:endnote>
  <w:endnote w:id="39">
    <w:p w14:paraId="74EC8C3C" w14:textId="5247DED3" w:rsidR="00BC0C52" w:rsidRPr="00AD09DE" w:rsidRDefault="00BC0C52"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Ibid.</w:t>
      </w:r>
    </w:p>
  </w:endnote>
  <w:endnote w:id="40">
    <w:p w14:paraId="0B24A9DA" w14:textId="30074E64" w:rsidR="00BC0C52" w:rsidRPr="00D60C29" w:rsidRDefault="00BC0C52" w:rsidP="00D700EB">
      <w:pPr>
        <w:pStyle w:val="EndnoteText"/>
        <w:spacing w:before="120" w:line="23" w:lineRule="atLeast"/>
        <w:jc w:val="both"/>
        <w:rPr>
          <w:rFonts w:ascii="Arial" w:hAnsi="Arial" w:cs="Arial"/>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D60C29">
        <w:rPr>
          <w:rFonts w:ascii="Arial" w:hAnsi="Arial" w:cs="Arial"/>
          <w:sz w:val="16"/>
          <w:szCs w:val="16"/>
        </w:rPr>
        <w:t>Ibid</w:t>
      </w:r>
    </w:p>
  </w:endnote>
  <w:endnote w:id="41">
    <w:p w14:paraId="7F7B76EF" w14:textId="58AA21FF" w:rsidR="00BC0C52" w:rsidRPr="00D60C29" w:rsidRDefault="00BC0C52" w:rsidP="00D700EB">
      <w:pPr>
        <w:pStyle w:val="EndnoteText"/>
        <w:spacing w:before="120" w:line="23" w:lineRule="atLeast"/>
        <w:jc w:val="both"/>
        <w:rPr>
          <w:rFonts w:ascii="Arial" w:hAnsi="Arial" w:cs="Arial"/>
          <w:sz w:val="16"/>
          <w:szCs w:val="16"/>
          <w:lang w:val="en-US"/>
        </w:rPr>
      </w:pPr>
      <w:r w:rsidRPr="00D60C29">
        <w:rPr>
          <w:rStyle w:val="EndnoteReference"/>
          <w:rFonts w:ascii="Arial" w:hAnsi="Arial" w:cs="Arial"/>
          <w:sz w:val="16"/>
          <w:szCs w:val="16"/>
        </w:rPr>
        <w:endnoteRef/>
      </w:r>
      <w:r w:rsidRPr="00D60C29">
        <w:rPr>
          <w:rFonts w:ascii="Arial" w:hAnsi="Arial" w:cs="Arial"/>
          <w:sz w:val="16"/>
          <w:szCs w:val="16"/>
        </w:rPr>
        <w:t xml:space="preserve"> Ibid.</w:t>
      </w:r>
    </w:p>
  </w:endnote>
  <w:endnote w:id="42">
    <w:p w14:paraId="427F4F35" w14:textId="5040A8B4" w:rsidR="00BC0C52" w:rsidRPr="00D60C29" w:rsidRDefault="00BC0C52" w:rsidP="00D700EB">
      <w:pPr>
        <w:pStyle w:val="p1"/>
        <w:spacing w:before="120" w:line="23" w:lineRule="atLeast"/>
        <w:jc w:val="both"/>
        <w:divId w:val="1984236837"/>
        <w:rPr>
          <w:rFonts w:ascii="Arial" w:hAnsi="Arial" w:cs="Arial"/>
          <w:sz w:val="16"/>
          <w:szCs w:val="16"/>
        </w:rPr>
      </w:pPr>
      <w:r w:rsidRPr="00D60C29">
        <w:rPr>
          <w:rStyle w:val="EndnoteReference"/>
          <w:rFonts w:ascii="Arial" w:hAnsi="Arial" w:cs="Arial"/>
          <w:sz w:val="16"/>
          <w:szCs w:val="16"/>
        </w:rPr>
        <w:endnoteRef/>
      </w:r>
      <w:r w:rsidR="00F63519" w:rsidRPr="00D60C29">
        <w:rPr>
          <w:rStyle w:val="apple-converted-space"/>
          <w:rFonts w:ascii="Arial" w:hAnsi="Arial" w:cs="Arial"/>
          <w:sz w:val="16"/>
          <w:szCs w:val="16"/>
        </w:rPr>
        <w:t> </w:t>
      </w:r>
      <w:r w:rsidR="00BB2967" w:rsidRPr="00D60C29">
        <w:rPr>
          <w:rStyle w:val="apple-converted-space"/>
          <w:rFonts w:ascii="Arial" w:hAnsi="Arial" w:cs="Arial"/>
          <w:sz w:val="16"/>
          <w:szCs w:val="16"/>
        </w:rPr>
        <w:t>Ibid.</w:t>
      </w:r>
    </w:p>
  </w:endnote>
  <w:endnote w:id="43">
    <w:p w14:paraId="6A0779DA" w14:textId="7E5E95DA" w:rsidR="00BC0C52" w:rsidRPr="00D60C29" w:rsidRDefault="00BC0C52" w:rsidP="00D700EB">
      <w:pPr>
        <w:pStyle w:val="EndnoteText"/>
        <w:spacing w:before="120" w:line="23" w:lineRule="atLeast"/>
        <w:jc w:val="both"/>
        <w:rPr>
          <w:rFonts w:ascii="Arial" w:hAnsi="Arial" w:cs="Arial"/>
          <w:sz w:val="16"/>
          <w:szCs w:val="16"/>
          <w:lang w:val="en-US"/>
        </w:rPr>
      </w:pPr>
      <w:r w:rsidRPr="00D60C29">
        <w:rPr>
          <w:rStyle w:val="EndnoteReference"/>
          <w:rFonts w:ascii="Arial" w:hAnsi="Arial" w:cs="Arial"/>
          <w:sz w:val="16"/>
          <w:szCs w:val="16"/>
        </w:rPr>
        <w:endnoteRef/>
      </w:r>
      <w:r w:rsidRPr="00D60C29">
        <w:rPr>
          <w:rFonts w:ascii="Arial" w:hAnsi="Arial" w:cs="Arial"/>
          <w:sz w:val="16"/>
          <w:szCs w:val="16"/>
        </w:rPr>
        <w:t xml:space="preserve"> </w:t>
      </w:r>
      <w:r w:rsidR="00BB2967" w:rsidRPr="00D60C29">
        <w:rPr>
          <w:rStyle w:val="s1"/>
          <w:rFonts w:ascii="Arial" w:hAnsi="Arial" w:cs="Arial"/>
          <w:sz w:val="16"/>
          <w:szCs w:val="16"/>
        </w:rPr>
        <w:t>Lowrey, Dan. 2020. “PG&amp;E Accepts Dividend Restrictions In Restructuring Deal With Governor”. S&amp;P Global.https://www.spglobal.com/marketintelligence/en/news-insights/research/pge-accepts-dividend-restrictions-in-restructuring-deal-with-governor</w:t>
      </w:r>
    </w:p>
  </w:endnote>
  <w:endnote w:id="44">
    <w:p w14:paraId="228305D5" w14:textId="45438CCB" w:rsidR="0028559D" w:rsidRPr="00D60C29" w:rsidRDefault="0028559D" w:rsidP="00D700EB">
      <w:pPr>
        <w:pStyle w:val="p1"/>
        <w:spacing w:before="120" w:line="23" w:lineRule="atLeast"/>
        <w:jc w:val="both"/>
        <w:divId w:val="150370906"/>
        <w:rPr>
          <w:rFonts w:ascii="Arial" w:hAnsi="Arial" w:cs="Arial"/>
          <w:sz w:val="16"/>
          <w:szCs w:val="16"/>
        </w:rPr>
      </w:pPr>
      <w:r w:rsidRPr="00D60C29">
        <w:rPr>
          <w:rStyle w:val="EndnoteReference"/>
          <w:rFonts w:ascii="Arial" w:hAnsi="Arial" w:cs="Arial"/>
          <w:sz w:val="16"/>
          <w:szCs w:val="16"/>
        </w:rPr>
        <w:endnoteRef/>
      </w:r>
      <w:r w:rsidRPr="00D60C29">
        <w:rPr>
          <w:rFonts w:ascii="Arial" w:hAnsi="Arial" w:cs="Arial"/>
          <w:sz w:val="16"/>
          <w:szCs w:val="16"/>
        </w:rPr>
        <w:t xml:space="preserve"> </w:t>
      </w:r>
      <w:r w:rsidR="004828EF" w:rsidRPr="00D60C29">
        <w:rPr>
          <w:rStyle w:val="s1"/>
          <w:rFonts w:ascii="Arial" w:hAnsi="Arial" w:cs="Arial"/>
          <w:sz w:val="16"/>
          <w:szCs w:val="16"/>
        </w:rPr>
        <w:t>Ma, Michelle. 2018. “Racial, ethnic minorities face greater vulnerability to wildfires.” UW News. https://www.washington.edu/news/2018/11/02/racial-ethnic-minorities-face-greater-vulnerability-to-wildfires/</w:t>
      </w:r>
    </w:p>
  </w:endnote>
  <w:endnote w:id="45">
    <w:p w14:paraId="77F69F1E" w14:textId="5042C23B" w:rsidR="0028559D" w:rsidRPr="00D60C29" w:rsidRDefault="0028559D" w:rsidP="00D700EB">
      <w:pPr>
        <w:pStyle w:val="EndnoteText"/>
        <w:spacing w:before="120" w:line="23" w:lineRule="atLeast"/>
        <w:jc w:val="both"/>
        <w:rPr>
          <w:rFonts w:ascii="Arial" w:hAnsi="Arial" w:cs="Arial"/>
          <w:sz w:val="16"/>
          <w:szCs w:val="16"/>
          <w:lang w:val="en-US"/>
        </w:rPr>
      </w:pPr>
      <w:r w:rsidRPr="00D60C29">
        <w:rPr>
          <w:rStyle w:val="EndnoteReference"/>
          <w:rFonts w:ascii="Arial" w:hAnsi="Arial" w:cs="Arial"/>
          <w:sz w:val="16"/>
          <w:szCs w:val="16"/>
        </w:rPr>
        <w:endnoteRef/>
      </w:r>
      <w:r w:rsidRPr="00D60C29">
        <w:rPr>
          <w:rFonts w:ascii="Arial" w:hAnsi="Arial" w:cs="Arial"/>
          <w:sz w:val="16"/>
          <w:szCs w:val="16"/>
        </w:rPr>
        <w:t xml:space="preserve"> </w:t>
      </w:r>
      <w:r w:rsidR="004828EF" w:rsidRPr="00D60C29">
        <w:rPr>
          <w:rFonts w:ascii="Arial" w:hAnsi="Arial" w:cs="Arial"/>
          <w:sz w:val="16"/>
          <w:szCs w:val="16"/>
        </w:rPr>
        <w:t>Ibid.</w:t>
      </w:r>
    </w:p>
  </w:endnote>
  <w:endnote w:id="46">
    <w:p w14:paraId="1247CEF1" w14:textId="07D97B3C" w:rsidR="0028559D" w:rsidRPr="00D60C29" w:rsidRDefault="0028559D" w:rsidP="00D700EB">
      <w:pPr>
        <w:pStyle w:val="p1"/>
        <w:spacing w:before="120" w:line="23" w:lineRule="atLeast"/>
        <w:jc w:val="both"/>
        <w:divId w:val="357004531"/>
        <w:rPr>
          <w:rFonts w:ascii="Arial" w:hAnsi="Arial" w:cs="Arial"/>
          <w:sz w:val="16"/>
          <w:szCs w:val="16"/>
        </w:rPr>
      </w:pPr>
      <w:r w:rsidRPr="00D60C29">
        <w:rPr>
          <w:rStyle w:val="EndnoteReference"/>
          <w:rFonts w:ascii="Arial" w:hAnsi="Arial" w:cs="Arial"/>
          <w:sz w:val="16"/>
          <w:szCs w:val="16"/>
        </w:rPr>
        <w:endnoteRef/>
      </w:r>
      <w:r w:rsidRPr="00D60C29">
        <w:rPr>
          <w:rFonts w:ascii="Arial" w:hAnsi="Arial" w:cs="Arial"/>
          <w:sz w:val="16"/>
          <w:szCs w:val="16"/>
        </w:rPr>
        <w:t xml:space="preserve"> </w:t>
      </w:r>
      <w:proofErr w:type="spellStart"/>
      <w:r w:rsidR="00591F93" w:rsidRPr="00D60C29">
        <w:rPr>
          <w:rStyle w:val="s1"/>
          <w:rFonts w:ascii="Arial" w:hAnsi="Arial" w:cs="Arial"/>
          <w:sz w:val="16"/>
          <w:szCs w:val="16"/>
        </w:rPr>
        <w:t>Thurton</w:t>
      </w:r>
      <w:proofErr w:type="spellEnd"/>
      <w:r w:rsidR="00591F93" w:rsidRPr="00D60C29">
        <w:rPr>
          <w:rStyle w:val="s1"/>
          <w:rFonts w:ascii="Arial" w:hAnsi="Arial" w:cs="Arial"/>
          <w:sz w:val="16"/>
          <w:szCs w:val="16"/>
        </w:rPr>
        <w:t>, David. 2021. “Climate change threatens remote and rural communities nationwide: report.” CBC News. https://www.cbc.ca/news/politics/climate-change-heat-wave-lytton-1.6088813</w:t>
      </w:r>
    </w:p>
  </w:endnote>
  <w:endnote w:id="47">
    <w:p w14:paraId="6C4290E0" w14:textId="6315B763" w:rsidR="0028559D" w:rsidRPr="00D60C29" w:rsidRDefault="0028559D" w:rsidP="00D700EB">
      <w:pPr>
        <w:pStyle w:val="p1"/>
        <w:spacing w:before="120" w:line="23" w:lineRule="atLeast"/>
        <w:jc w:val="both"/>
        <w:divId w:val="1075667818"/>
        <w:rPr>
          <w:rFonts w:ascii="Arial" w:hAnsi="Arial" w:cs="Arial"/>
          <w:sz w:val="16"/>
          <w:szCs w:val="16"/>
        </w:rPr>
      </w:pPr>
      <w:r w:rsidRPr="00D60C29">
        <w:rPr>
          <w:rStyle w:val="EndnoteReference"/>
          <w:rFonts w:ascii="Arial" w:hAnsi="Arial" w:cs="Arial"/>
          <w:sz w:val="16"/>
          <w:szCs w:val="16"/>
        </w:rPr>
        <w:endnoteRef/>
      </w:r>
      <w:r w:rsidRPr="00D60C29">
        <w:rPr>
          <w:rFonts w:ascii="Arial" w:hAnsi="Arial" w:cs="Arial"/>
          <w:sz w:val="16"/>
          <w:szCs w:val="16"/>
        </w:rPr>
        <w:t xml:space="preserve"> </w:t>
      </w:r>
      <w:r w:rsidR="00FD1E33" w:rsidRPr="00D60C29">
        <w:rPr>
          <w:rStyle w:val="s1"/>
          <w:rFonts w:ascii="Arial" w:hAnsi="Arial" w:cs="Arial"/>
          <w:sz w:val="16"/>
          <w:szCs w:val="16"/>
        </w:rPr>
        <w:t>Penn, Ivan. 2022. “PG&amp;E agrees to pay $55 million in penalties and costs over two wildfires.” The New York Times. https://www.nytimes.com/2022/04/11/business/energy-environment/pge-wildfire-settlement.html</w:t>
      </w:r>
    </w:p>
  </w:endnote>
  <w:endnote w:id="48">
    <w:p w14:paraId="1342C26F" w14:textId="3731A7C2" w:rsidR="0028559D" w:rsidRPr="00D60C29" w:rsidRDefault="0028559D" w:rsidP="00D700EB">
      <w:pPr>
        <w:pStyle w:val="p1"/>
        <w:spacing w:before="120" w:line="23" w:lineRule="atLeast"/>
        <w:jc w:val="both"/>
        <w:divId w:val="1530728403"/>
        <w:rPr>
          <w:rFonts w:ascii="Arial" w:hAnsi="Arial" w:cs="Arial"/>
          <w:sz w:val="16"/>
          <w:szCs w:val="16"/>
        </w:rPr>
      </w:pPr>
      <w:r w:rsidRPr="00D60C29">
        <w:rPr>
          <w:rStyle w:val="EndnoteReference"/>
          <w:rFonts w:ascii="Arial" w:hAnsi="Arial" w:cs="Arial"/>
          <w:sz w:val="16"/>
          <w:szCs w:val="16"/>
        </w:rPr>
        <w:endnoteRef/>
      </w:r>
      <w:r w:rsidRPr="00D60C29">
        <w:rPr>
          <w:rFonts w:ascii="Arial" w:hAnsi="Arial" w:cs="Arial"/>
          <w:sz w:val="16"/>
          <w:szCs w:val="16"/>
        </w:rPr>
        <w:t xml:space="preserve"> </w:t>
      </w:r>
      <w:r w:rsidR="005E1C6E" w:rsidRPr="00D60C29">
        <w:rPr>
          <w:rStyle w:val="s1"/>
          <w:rFonts w:ascii="Arial" w:hAnsi="Arial" w:cs="Arial"/>
          <w:sz w:val="16"/>
          <w:szCs w:val="16"/>
        </w:rPr>
        <w:t xml:space="preserve">Penn, Ivan, Peter </w:t>
      </w:r>
      <w:proofErr w:type="spellStart"/>
      <w:r w:rsidR="005E1C6E" w:rsidRPr="00D60C29">
        <w:rPr>
          <w:rStyle w:val="s1"/>
          <w:rFonts w:ascii="Arial" w:hAnsi="Arial" w:cs="Arial"/>
          <w:sz w:val="16"/>
          <w:szCs w:val="16"/>
        </w:rPr>
        <w:t>Eavis</w:t>
      </w:r>
      <w:proofErr w:type="spellEnd"/>
      <w:r w:rsidR="005E1C6E" w:rsidRPr="00D60C29">
        <w:rPr>
          <w:rStyle w:val="s1"/>
          <w:rFonts w:ascii="Arial" w:hAnsi="Arial" w:cs="Arial"/>
          <w:sz w:val="16"/>
          <w:szCs w:val="16"/>
        </w:rPr>
        <w:t xml:space="preserve"> and James </w:t>
      </w:r>
      <w:proofErr w:type="spellStart"/>
      <w:r w:rsidR="005E1C6E" w:rsidRPr="00D60C29">
        <w:rPr>
          <w:rStyle w:val="s1"/>
          <w:rFonts w:ascii="Arial" w:hAnsi="Arial" w:cs="Arial"/>
          <w:sz w:val="16"/>
          <w:szCs w:val="16"/>
        </w:rPr>
        <w:t>Glanz</w:t>
      </w:r>
      <w:proofErr w:type="spellEnd"/>
      <w:r w:rsidR="005E1C6E" w:rsidRPr="00D60C29">
        <w:rPr>
          <w:rStyle w:val="s1"/>
          <w:rFonts w:ascii="Arial" w:hAnsi="Arial" w:cs="Arial"/>
          <w:sz w:val="16"/>
          <w:szCs w:val="16"/>
        </w:rPr>
        <w:t>. 2019. “How PG&amp;E ignored fire risks in favour of profit.” The New York Times. https://www.nytimes.com/interactive/2019/03/18/business/pge-california-wildfires.html</w:t>
      </w:r>
    </w:p>
  </w:endnote>
  <w:endnote w:id="49">
    <w:p w14:paraId="66D1B7EE" w14:textId="41520837" w:rsidR="0028559D" w:rsidRPr="00D60C29" w:rsidRDefault="0028559D" w:rsidP="00D700EB">
      <w:pPr>
        <w:pStyle w:val="EndnoteText"/>
        <w:spacing w:before="120" w:line="23" w:lineRule="atLeast"/>
        <w:jc w:val="both"/>
        <w:rPr>
          <w:rFonts w:ascii="Arial" w:hAnsi="Arial" w:cs="Arial"/>
          <w:sz w:val="16"/>
          <w:szCs w:val="16"/>
          <w:lang w:val="en-US"/>
        </w:rPr>
      </w:pPr>
      <w:r w:rsidRPr="00D60C29">
        <w:rPr>
          <w:rStyle w:val="EndnoteReference"/>
          <w:rFonts w:ascii="Arial" w:hAnsi="Arial" w:cs="Arial"/>
          <w:sz w:val="16"/>
          <w:szCs w:val="16"/>
        </w:rPr>
        <w:endnoteRef/>
      </w:r>
      <w:r w:rsidRPr="00D60C29">
        <w:rPr>
          <w:rFonts w:ascii="Arial" w:hAnsi="Arial" w:cs="Arial"/>
          <w:sz w:val="16"/>
          <w:szCs w:val="16"/>
        </w:rPr>
        <w:t xml:space="preserve"> </w:t>
      </w:r>
      <w:r w:rsidR="005E1C6E" w:rsidRPr="00D60C29">
        <w:rPr>
          <w:rFonts w:ascii="Arial" w:hAnsi="Arial" w:cs="Arial"/>
          <w:sz w:val="16"/>
          <w:szCs w:val="16"/>
        </w:rPr>
        <w:t>Ibid.</w:t>
      </w:r>
    </w:p>
  </w:endnote>
  <w:endnote w:id="50">
    <w:p w14:paraId="1D0156D7" w14:textId="5B8B8B86" w:rsidR="0028559D" w:rsidRPr="00AD09DE" w:rsidRDefault="0028559D"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Linda </w:t>
      </w:r>
      <w:proofErr w:type="spellStart"/>
      <w:r w:rsidRPr="00AD09DE">
        <w:rPr>
          <w:rFonts w:asciiTheme="minorBidi" w:hAnsiTheme="minorBidi"/>
          <w:sz w:val="16"/>
          <w:szCs w:val="16"/>
        </w:rPr>
        <w:t>Steg</w:t>
      </w:r>
      <w:proofErr w:type="spellEnd"/>
      <w:r w:rsidRPr="00AD09DE">
        <w:rPr>
          <w:rFonts w:asciiTheme="minorBidi" w:hAnsiTheme="minorBidi"/>
          <w:sz w:val="16"/>
          <w:szCs w:val="16"/>
        </w:rPr>
        <w:t xml:space="preserve">, </w:t>
      </w:r>
      <w:proofErr w:type="spellStart"/>
      <w:r w:rsidRPr="00AD09DE">
        <w:rPr>
          <w:rFonts w:asciiTheme="minorBidi" w:hAnsiTheme="minorBidi"/>
          <w:sz w:val="16"/>
          <w:szCs w:val="16"/>
        </w:rPr>
        <w:t>Goda</w:t>
      </w:r>
      <w:proofErr w:type="spellEnd"/>
      <w:r w:rsidRPr="00AD09DE">
        <w:rPr>
          <w:rFonts w:asciiTheme="minorBidi" w:hAnsiTheme="minorBidi"/>
          <w:sz w:val="16"/>
          <w:szCs w:val="16"/>
        </w:rPr>
        <w:t xml:space="preserve"> </w:t>
      </w:r>
      <w:proofErr w:type="spellStart"/>
      <w:r w:rsidRPr="00AD09DE">
        <w:rPr>
          <w:rFonts w:asciiTheme="minorBidi" w:hAnsiTheme="minorBidi"/>
          <w:sz w:val="16"/>
          <w:szCs w:val="16"/>
        </w:rPr>
        <w:t>Perlaviciute</w:t>
      </w:r>
      <w:proofErr w:type="spellEnd"/>
      <w:r w:rsidRPr="00AD09DE">
        <w:rPr>
          <w:rFonts w:asciiTheme="minorBidi" w:hAnsiTheme="minorBidi"/>
          <w:sz w:val="16"/>
          <w:szCs w:val="16"/>
        </w:rPr>
        <w:t xml:space="preserve">, Ellen van </w:t>
      </w:r>
      <w:proofErr w:type="spellStart"/>
      <w:r w:rsidRPr="00AD09DE">
        <w:rPr>
          <w:rFonts w:asciiTheme="minorBidi" w:hAnsiTheme="minorBidi"/>
          <w:sz w:val="16"/>
          <w:szCs w:val="16"/>
        </w:rPr>
        <w:t>der</w:t>
      </w:r>
      <w:proofErr w:type="spellEnd"/>
      <w:r w:rsidRPr="00AD09DE">
        <w:rPr>
          <w:rFonts w:asciiTheme="minorBidi" w:hAnsiTheme="minorBidi"/>
          <w:sz w:val="16"/>
          <w:szCs w:val="16"/>
        </w:rPr>
        <w:t xml:space="preserve"> </w:t>
      </w:r>
      <w:proofErr w:type="spellStart"/>
      <w:r w:rsidRPr="00AD09DE">
        <w:rPr>
          <w:rFonts w:asciiTheme="minorBidi" w:hAnsiTheme="minorBidi"/>
          <w:sz w:val="16"/>
          <w:szCs w:val="16"/>
        </w:rPr>
        <w:t>Werff</w:t>
      </w:r>
      <w:proofErr w:type="spellEnd"/>
      <w:r w:rsidRPr="00AD09DE">
        <w:rPr>
          <w:rFonts w:asciiTheme="minorBidi" w:hAnsiTheme="minorBidi"/>
          <w:sz w:val="16"/>
          <w:szCs w:val="16"/>
        </w:rPr>
        <w:t>, “Understanding the human dimensions of a sustainable energy transition”. Frontiers in Psychology 6, no.805 (2015): 1</w:t>
      </w:r>
    </w:p>
  </w:endnote>
  <w:endnote w:id="51">
    <w:p w14:paraId="665EF32A" w14:textId="3D9E68CE" w:rsidR="0028559D" w:rsidRPr="00AD09DE" w:rsidRDefault="0028559D"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Steg, “Understanding the human,” 10.</w:t>
      </w:r>
    </w:p>
  </w:endnote>
  <w:endnote w:id="52">
    <w:p w14:paraId="75C76F8A" w14:textId="469B5A18" w:rsidR="0028559D" w:rsidRPr="00AD09DE" w:rsidRDefault="0028559D"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Ibid.</w:t>
      </w:r>
    </w:p>
  </w:endnote>
  <w:endnote w:id="53">
    <w:p w14:paraId="475D4D00" w14:textId="088D9F3C" w:rsidR="0028559D" w:rsidRPr="00AD09DE" w:rsidRDefault="0028559D"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Ibid.</w:t>
      </w:r>
    </w:p>
  </w:endnote>
  <w:endnote w:id="54">
    <w:p w14:paraId="67E807F2" w14:textId="6509591E" w:rsidR="0028559D" w:rsidRPr="00AD09DE" w:rsidRDefault="0028559D"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4E343B" w:rsidRPr="00AD09DE">
        <w:rPr>
          <w:rFonts w:asciiTheme="minorBidi" w:hAnsiTheme="minorBidi"/>
          <w:sz w:val="16"/>
          <w:szCs w:val="16"/>
        </w:rPr>
        <w:t>Steg, “Understanding the human,” 9.</w:t>
      </w:r>
    </w:p>
  </w:endnote>
  <w:endnote w:id="55">
    <w:p w14:paraId="2C43F318" w14:textId="32ACB6E1" w:rsidR="0028559D" w:rsidRPr="00AD09DE" w:rsidRDefault="0028559D"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4E343B" w:rsidRPr="00AD09DE">
        <w:rPr>
          <w:rFonts w:asciiTheme="minorBidi" w:hAnsiTheme="minorBidi"/>
          <w:sz w:val="16"/>
          <w:szCs w:val="16"/>
        </w:rPr>
        <w:t>Steg, “Understanding the human,” 10.</w:t>
      </w:r>
    </w:p>
  </w:endnote>
  <w:endnote w:id="56">
    <w:p w14:paraId="043AEC0C" w14:textId="5C6D8107" w:rsidR="0028559D" w:rsidRPr="00AD09DE" w:rsidRDefault="0028559D"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4E343B" w:rsidRPr="00AD09DE">
        <w:rPr>
          <w:rFonts w:asciiTheme="minorBidi" w:hAnsiTheme="minorBidi"/>
          <w:color w:val="000000"/>
          <w:sz w:val="16"/>
          <w:szCs w:val="16"/>
          <w:shd w:val="clear" w:color="auto" w:fill="FFFFFF"/>
        </w:rPr>
        <w:t xml:space="preserve">G. </w:t>
      </w:r>
      <w:proofErr w:type="spellStart"/>
      <w:r w:rsidR="004E343B" w:rsidRPr="00AD09DE">
        <w:rPr>
          <w:rFonts w:asciiTheme="minorBidi" w:hAnsiTheme="minorBidi"/>
          <w:color w:val="000000"/>
          <w:sz w:val="16"/>
          <w:szCs w:val="16"/>
          <w:shd w:val="clear" w:color="auto" w:fill="FFFFFF"/>
        </w:rPr>
        <w:t>Strbac</w:t>
      </w:r>
      <w:proofErr w:type="spellEnd"/>
      <w:r w:rsidR="004E343B" w:rsidRPr="00AD09DE">
        <w:rPr>
          <w:rFonts w:asciiTheme="minorBidi" w:hAnsiTheme="minorBidi"/>
          <w:color w:val="000000"/>
          <w:sz w:val="16"/>
          <w:szCs w:val="16"/>
          <w:shd w:val="clear" w:color="auto" w:fill="FFFFFF"/>
        </w:rPr>
        <w:t xml:space="preserve"> et al., "Opportunities for Energy Storage: Assessing Whole-System Economic Benefits of Energy Storage in Future Electricity Systems". IEEE Power and Energy Magazine 15, no.5 (2017): 32.</w:t>
      </w:r>
    </w:p>
  </w:endnote>
  <w:endnote w:id="57">
    <w:p w14:paraId="177F0CE5" w14:textId="3C29F30E" w:rsidR="004E343B" w:rsidRPr="00AD09DE" w:rsidRDefault="004E343B"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Ibid.</w:t>
      </w:r>
    </w:p>
  </w:endnote>
  <w:endnote w:id="58">
    <w:p w14:paraId="317DC47F" w14:textId="768CAADB" w:rsidR="004E343B" w:rsidRPr="00AD09DE" w:rsidRDefault="004E343B" w:rsidP="00D700EB">
      <w:pPr>
        <w:pStyle w:val="EndnoteText"/>
        <w:spacing w:before="120" w:line="23" w:lineRule="atLeast"/>
        <w:jc w:val="both"/>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hAnsiTheme="minorBidi"/>
          <w:color w:val="000000"/>
          <w:sz w:val="16"/>
          <w:szCs w:val="16"/>
          <w:shd w:val="clear" w:color="auto" w:fill="FFFFFF"/>
        </w:rPr>
        <w:t xml:space="preserve">Eric </w:t>
      </w:r>
      <w:proofErr w:type="spellStart"/>
      <w:r w:rsidRPr="00AD09DE">
        <w:rPr>
          <w:rFonts w:asciiTheme="minorBidi" w:hAnsiTheme="minorBidi"/>
          <w:color w:val="000000"/>
          <w:sz w:val="16"/>
          <w:szCs w:val="16"/>
          <w:shd w:val="clear" w:color="auto" w:fill="FFFFFF"/>
        </w:rPr>
        <w:t>Hittinger</w:t>
      </w:r>
      <w:proofErr w:type="spellEnd"/>
      <w:r w:rsidRPr="00AD09DE">
        <w:rPr>
          <w:rFonts w:asciiTheme="minorBidi" w:hAnsiTheme="minorBidi"/>
          <w:color w:val="000000"/>
          <w:sz w:val="16"/>
          <w:szCs w:val="16"/>
          <w:shd w:val="clear" w:color="auto" w:fill="FFFFFF"/>
        </w:rPr>
        <w:t xml:space="preserve"> and Rebecca E. </w:t>
      </w:r>
      <w:proofErr w:type="spellStart"/>
      <w:r w:rsidRPr="00AD09DE">
        <w:rPr>
          <w:rFonts w:asciiTheme="minorBidi" w:hAnsiTheme="minorBidi"/>
          <w:color w:val="000000"/>
          <w:sz w:val="16"/>
          <w:szCs w:val="16"/>
          <w:shd w:val="clear" w:color="auto" w:fill="FFFFFF"/>
        </w:rPr>
        <w:t>Ciez</w:t>
      </w:r>
      <w:proofErr w:type="spellEnd"/>
      <w:r w:rsidRPr="00AD09DE">
        <w:rPr>
          <w:rFonts w:asciiTheme="minorBidi" w:hAnsiTheme="minorBidi"/>
          <w:color w:val="000000"/>
          <w:sz w:val="16"/>
          <w:szCs w:val="16"/>
          <w:shd w:val="clear" w:color="auto" w:fill="FFFFFF"/>
        </w:rPr>
        <w:t>, “</w:t>
      </w:r>
      <w:proofErr w:type="spellStart"/>
      <w:r w:rsidRPr="00AD09DE">
        <w:rPr>
          <w:rFonts w:asciiTheme="minorBidi" w:hAnsiTheme="minorBidi"/>
          <w:color w:val="000000"/>
          <w:sz w:val="16"/>
          <w:szCs w:val="16"/>
          <w:shd w:val="clear" w:color="auto" w:fill="FFFFFF"/>
        </w:rPr>
        <w:t>Modeling</w:t>
      </w:r>
      <w:proofErr w:type="spellEnd"/>
      <w:r w:rsidRPr="00AD09DE">
        <w:rPr>
          <w:rFonts w:asciiTheme="minorBidi" w:hAnsiTheme="minorBidi"/>
          <w:color w:val="000000"/>
          <w:sz w:val="16"/>
          <w:szCs w:val="16"/>
          <w:shd w:val="clear" w:color="auto" w:fill="FFFFFF"/>
        </w:rPr>
        <w:t xml:space="preserve"> Costs and Benefits of Energy Storage Systems”. Annual Review of Environment and Resources 45, (2020): 460.</w:t>
      </w:r>
    </w:p>
  </w:endnote>
  <w:endnote w:id="59">
    <w:p w14:paraId="29CC768D" w14:textId="4D4ACF46" w:rsidR="004E343B" w:rsidRPr="00AD09DE" w:rsidRDefault="004E343B"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p>
  </w:endnote>
  <w:endnote w:id="60">
    <w:p w14:paraId="5EAC45CE" w14:textId="77F5F339" w:rsidR="004E343B" w:rsidRPr="00AD09DE" w:rsidRDefault="004E343B"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p>
  </w:endnote>
  <w:endnote w:id="61">
    <w:p w14:paraId="5D26824D" w14:textId="720BE274" w:rsidR="004E343B" w:rsidRPr="00AD09DE" w:rsidRDefault="004E343B"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Ilya </w:t>
      </w:r>
      <w:proofErr w:type="spellStart"/>
      <w:r w:rsidRPr="00AD09DE">
        <w:rPr>
          <w:rFonts w:asciiTheme="minorBidi" w:hAnsiTheme="minorBidi"/>
          <w:sz w:val="16"/>
          <w:szCs w:val="16"/>
        </w:rPr>
        <w:t>Chernyakhovskiy</w:t>
      </w:r>
      <w:proofErr w:type="spellEnd"/>
      <w:r w:rsidRPr="00AD09DE">
        <w:rPr>
          <w:rFonts w:asciiTheme="minorBidi" w:hAnsiTheme="minorBidi"/>
          <w:sz w:val="16"/>
          <w:szCs w:val="16"/>
        </w:rPr>
        <w:t xml:space="preserve"> et al., “USAID Energy Storage Decision Guide for Policy Makers,” National Renewable Energy Laboratory, 2021, </w:t>
      </w:r>
      <w:r w:rsidRPr="00AD09DE">
        <w:rPr>
          <w:rFonts w:asciiTheme="minorBidi" w:hAnsiTheme="minorBidi"/>
          <w:color w:val="000000" w:themeColor="text1"/>
          <w:sz w:val="16"/>
          <w:szCs w:val="16"/>
        </w:rPr>
        <w:t xml:space="preserve">https://www.nrel.gov/docs/fy21osti/78815.pdf.  </w:t>
      </w:r>
    </w:p>
  </w:endnote>
  <w:endnote w:id="62">
    <w:p w14:paraId="53B06149" w14:textId="6F3050EE" w:rsidR="004E343B" w:rsidRPr="00AD09DE" w:rsidRDefault="004E343B"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Laura Shields, “The Growing Role of Energy Storage in Clean Energy Policy,” National Conference of State Legislatures, 2020, https://www.ncsl.org/research/energy/the-growing-role-of-energy-storage-in-clean-energy-policy.aspx.</w:t>
      </w:r>
    </w:p>
  </w:endnote>
  <w:endnote w:id="63">
    <w:p w14:paraId="3FF10E45" w14:textId="77FCECFA" w:rsidR="005D21C6" w:rsidRPr="00AD09DE" w:rsidRDefault="005D21C6"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Alexandra </w:t>
      </w:r>
      <w:proofErr w:type="spellStart"/>
      <w:r w:rsidRPr="00AD09DE">
        <w:rPr>
          <w:rFonts w:asciiTheme="minorBidi" w:hAnsiTheme="minorBidi"/>
          <w:sz w:val="16"/>
          <w:szCs w:val="16"/>
        </w:rPr>
        <w:t>Zablocki</w:t>
      </w:r>
      <w:proofErr w:type="spellEnd"/>
      <w:r w:rsidRPr="00AD09DE">
        <w:rPr>
          <w:rFonts w:asciiTheme="minorBidi" w:hAnsiTheme="minorBidi"/>
          <w:sz w:val="16"/>
          <w:szCs w:val="16"/>
        </w:rPr>
        <w:t xml:space="preserve">, “Fact Sheet: Energy Storage (2019),” Environmental and Energy Study Institute, 2019, </w:t>
      </w:r>
      <w:r w:rsidRPr="00AD09DE">
        <w:rPr>
          <w:rFonts w:asciiTheme="minorBidi" w:hAnsiTheme="minorBidi"/>
          <w:color w:val="000000" w:themeColor="text1"/>
          <w:sz w:val="16"/>
          <w:szCs w:val="16"/>
        </w:rPr>
        <w:t>https://www.eesi.org/papers/view/energy-storage-2019#4.</w:t>
      </w:r>
    </w:p>
  </w:endnote>
  <w:endnote w:id="64">
    <w:p w14:paraId="4E6557D6" w14:textId="69FD4A00" w:rsidR="005D21C6" w:rsidRPr="00AD09DE" w:rsidRDefault="005D21C6"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Energy Storage Association, “Benefits of Energy Storage: Energy Storage Association,” Energy Storage Association, September 24, 2020, </w:t>
      </w:r>
      <w:r w:rsidRPr="00AD09DE">
        <w:rPr>
          <w:rFonts w:asciiTheme="minorBidi" w:hAnsiTheme="minorBidi"/>
          <w:color w:val="000000" w:themeColor="text1"/>
          <w:sz w:val="16"/>
          <w:szCs w:val="16"/>
        </w:rPr>
        <w:t>https://energystorage.org/why-energy-storage/benefits/.</w:t>
      </w:r>
    </w:p>
  </w:endnote>
  <w:endnote w:id="65">
    <w:p w14:paraId="3B8CC48C" w14:textId="49FE3A2F" w:rsidR="005D21C6" w:rsidRPr="00AD09DE" w:rsidRDefault="005D21C6"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proofErr w:type="spellStart"/>
      <w:r w:rsidRPr="00AD09DE">
        <w:rPr>
          <w:rFonts w:asciiTheme="minorBidi" w:hAnsiTheme="minorBidi"/>
          <w:sz w:val="16"/>
          <w:szCs w:val="16"/>
        </w:rPr>
        <w:t>Sonal</w:t>
      </w:r>
      <w:proofErr w:type="spellEnd"/>
      <w:r w:rsidRPr="00AD09DE">
        <w:rPr>
          <w:rFonts w:asciiTheme="minorBidi" w:hAnsiTheme="minorBidi"/>
          <w:sz w:val="16"/>
          <w:szCs w:val="16"/>
        </w:rPr>
        <w:t xml:space="preserve"> Patel, “Connecticut Becomes Eighth State to Adopt Energy Storage Targets,” POWER Magazine, June 24, 2021, </w:t>
      </w:r>
      <w:r w:rsidRPr="00AD09DE">
        <w:rPr>
          <w:rFonts w:asciiTheme="minorBidi" w:hAnsiTheme="minorBidi"/>
          <w:color w:val="000000" w:themeColor="text1"/>
          <w:sz w:val="16"/>
          <w:szCs w:val="16"/>
        </w:rPr>
        <w:t>https://www.powermag.com/connecticut-becomes-eighth-state-to-adopt-energy-storage-targets/.</w:t>
      </w:r>
    </w:p>
  </w:endnote>
  <w:endnote w:id="66">
    <w:p w14:paraId="30BC3B8E" w14:textId="0F873C87" w:rsidR="005D21C6" w:rsidRPr="00AD09DE" w:rsidRDefault="005D21C6" w:rsidP="00240993">
      <w:pPr>
        <w:pStyle w:val="EndnoteText"/>
        <w:spacing w:before="120"/>
        <w:rPr>
          <w:rFonts w:asciiTheme="minorBidi" w:hAnsiTheme="minorBidi"/>
          <w:sz w:val="16"/>
          <w:szCs w:val="16"/>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Department of Energy, “Solving Challenges in Energy Storage,” Department</w:t>
      </w:r>
      <w:r w:rsidR="00AD09DE">
        <w:rPr>
          <w:rFonts w:asciiTheme="minorBidi" w:hAnsiTheme="minorBidi"/>
          <w:sz w:val="16"/>
          <w:szCs w:val="16"/>
        </w:rPr>
        <w:t xml:space="preserve"> </w:t>
      </w:r>
      <w:r w:rsidRPr="00AD09DE">
        <w:rPr>
          <w:rFonts w:asciiTheme="minorBidi" w:hAnsiTheme="minorBidi"/>
          <w:sz w:val="16"/>
          <w:szCs w:val="16"/>
        </w:rPr>
        <w:t xml:space="preserve">of Energy, 2019, </w:t>
      </w:r>
      <w:r w:rsidRPr="00AD09DE">
        <w:rPr>
          <w:rFonts w:asciiTheme="minorBidi" w:hAnsiTheme="minorBidi"/>
          <w:color w:val="000000" w:themeColor="text1"/>
          <w:sz w:val="16"/>
          <w:szCs w:val="16"/>
        </w:rPr>
        <w:t xml:space="preserve">https://www.energy.gov/sites/default/files/2019/07/f64/2018-OTT-Energy-Storage-Spotlight.pdf. </w:t>
      </w:r>
      <w:r w:rsidRPr="00AD09DE">
        <w:rPr>
          <w:rFonts w:asciiTheme="minorBidi" w:hAnsiTheme="minorBidi"/>
          <w:sz w:val="16"/>
          <w:szCs w:val="16"/>
        </w:rPr>
        <w:t xml:space="preserve">; Ilya </w:t>
      </w:r>
      <w:proofErr w:type="spellStart"/>
      <w:r w:rsidRPr="00AD09DE">
        <w:rPr>
          <w:rFonts w:asciiTheme="minorBidi" w:hAnsiTheme="minorBidi"/>
          <w:sz w:val="16"/>
          <w:szCs w:val="16"/>
        </w:rPr>
        <w:t>Chernyakhovskiy</w:t>
      </w:r>
      <w:proofErr w:type="spellEnd"/>
      <w:r w:rsidRPr="00AD09DE">
        <w:rPr>
          <w:rFonts w:asciiTheme="minorBidi" w:hAnsiTheme="minorBidi"/>
          <w:sz w:val="16"/>
          <w:szCs w:val="16"/>
        </w:rPr>
        <w:t xml:space="preserve"> et al., “USAID Energy Storage Decision Guide For Policy Makers,” National Renewable Energy Laboratory, 2021, </w:t>
      </w:r>
      <w:r w:rsidRPr="00AD09DE">
        <w:rPr>
          <w:rFonts w:asciiTheme="minorBidi" w:hAnsiTheme="minorBidi"/>
          <w:color w:val="000000" w:themeColor="text1"/>
          <w:sz w:val="16"/>
          <w:szCs w:val="16"/>
        </w:rPr>
        <w:t xml:space="preserve">https://www.nrel.gov/docs/fy21osti/78815.pdf.  </w:t>
      </w:r>
    </w:p>
  </w:endnote>
  <w:endnote w:id="67">
    <w:p w14:paraId="0D90B4F1" w14:textId="6199995F" w:rsidR="005D21C6" w:rsidRPr="00AD09DE" w:rsidRDefault="005D21C6"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proofErr w:type="spellStart"/>
      <w:r w:rsidR="00B741DD" w:rsidRPr="00AD09DE">
        <w:rPr>
          <w:rFonts w:asciiTheme="minorBidi" w:hAnsiTheme="minorBidi"/>
          <w:sz w:val="16"/>
          <w:szCs w:val="16"/>
        </w:rPr>
        <w:t>Energsoft</w:t>
      </w:r>
      <w:proofErr w:type="spellEnd"/>
      <w:r w:rsidR="00B741DD" w:rsidRPr="00AD09DE">
        <w:rPr>
          <w:rFonts w:asciiTheme="minorBidi" w:hAnsiTheme="minorBidi"/>
          <w:sz w:val="16"/>
          <w:szCs w:val="16"/>
        </w:rPr>
        <w:t xml:space="preserve"> - Predictive Battery Analytics Software, “Energy Storage Problems - Battery Analytics Software,” </w:t>
      </w:r>
      <w:proofErr w:type="spellStart"/>
      <w:r w:rsidR="00B741DD" w:rsidRPr="00AD09DE">
        <w:rPr>
          <w:rFonts w:asciiTheme="minorBidi" w:hAnsiTheme="minorBidi"/>
          <w:sz w:val="16"/>
          <w:szCs w:val="16"/>
        </w:rPr>
        <w:t>Energsoft</w:t>
      </w:r>
      <w:proofErr w:type="spellEnd"/>
      <w:r w:rsidR="00B741DD" w:rsidRPr="00AD09DE">
        <w:rPr>
          <w:rFonts w:asciiTheme="minorBidi" w:hAnsiTheme="minorBidi"/>
          <w:sz w:val="16"/>
          <w:szCs w:val="16"/>
        </w:rPr>
        <w:t xml:space="preserve"> - Predictive Battery Analytics Software, 2019, </w:t>
      </w:r>
      <w:hyperlink r:id="rId1">
        <w:r w:rsidR="00B741DD" w:rsidRPr="00AD09DE">
          <w:rPr>
            <w:rFonts w:asciiTheme="minorBidi" w:hAnsiTheme="minorBidi"/>
            <w:color w:val="000000" w:themeColor="text1"/>
            <w:sz w:val="16"/>
            <w:szCs w:val="16"/>
          </w:rPr>
          <w:t>https://energsoft.com/blog/f/energy-storage-problems</w:t>
        </w:r>
      </w:hyperlink>
      <w:r w:rsidR="00B741DD" w:rsidRPr="00AD09DE">
        <w:rPr>
          <w:rFonts w:asciiTheme="minorBidi" w:hAnsiTheme="minorBidi"/>
          <w:color w:val="000000" w:themeColor="text1"/>
          <w:sz w:val="16"/>
          <w:szCs w:val="16"/>
        </w:rPr>
        <w:t>.</w:t>
      </w:r>
    </w:p>
  </w:endnote>
  <w:endnote w:id="68">
    <w:p w14:paraId="1755DC1B" w14:textId="545C47DD" w:rsidR="005D21C6" w:rsidRPr="00AD09DE" w:rsidRDefault="005D21C6"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B741DD" w:rsidRPr="00AD09DE">
        <w:rPr>
          <w:rFonts w:asciiTheme="minorBidi" w:hAnsiTheme="minorBidi"/>
          <w:sz w:val="16"/>
          <w:szCs w:val="16"/>
        </w:rPr>
        <w:t xml:space="preserve">Maria Blais Costello, “Preventative Shutoffs Are Resulting in a Medical Crisis: Resilient Power Can Help,” Clean Energy Group, October 29, 2019, </w:t>
      </w:r>
      <w:r w:rsidR="00B741DD" w:rsidRPr="00AD09DE">
        <w:rPr>
          <w:rFonts w:asciiTheme="minorBidi" w:hAnsiTheme="minorBidi"/>
          <w:color w:val="000000" w:themeColor="text1"/>
          <w:sz w:val="16"/>
          <w:szCs w:val="16"/>
        </w:rPr>
        <w:t>https://www.cleanegroup.org/preventative-shutoffs-are-resulting-in-a-medical-crisis-resilient-power-can-help/.</w:t>
      </w:r>
    </w:p>
  </w:endnote>
  <w:endnote w:id="69">
    <w:p w14:paraId="4FFBDA43" w14:textId="1CF556A0" w:rsidR="005D21C6" w:rsidRPr="00AD09DE" w:rsidRDefault="005D21C6"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B741DD" w:rsidRPr="00AD09DE">
        <w:rPr>
          <w:rFonts w:asciiTheme="minorBidi" w:hAnsiTheme="minorBidi"/>
          <w:sz w:val="16"/>
          <w:szCs w:val="16"/>
        </w:rPr>
        <w:t>Ibid.</w:t>
      </w:r>
    </w:p>
  </w:endnote>
  <w:endnote w:id="70">
    <w:p w14:paraId="663A4228" w14:textId="2616F5E8" w:rsidR="005D21C6" w:rsidRPr="00AD09DE" w:rsidRDefault="005D21C6"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B741DD" w:rsidRPr="00AD09DE">
        <w:rPr>
          <w:rFonts w:asciiTheme="minorBidi" w:hAnsiTheme="minorBidi"/>
          <w:sz w:val="16"/>
          <w:szCs w:val="16"/>
        </w:rPr>
        <w:t xml:space="preserve">Energy Storage Association, “Energy Storage Incentive Programs,” Energy Storage Association, 2019, </w:t>
      </w:r>
      <w:r w:rsidR="00B741DD" w:rsidRPr="00AD09DE">
        <w:rPr>
          <w:rFonts w:asciiTheme="minorBidi" w:hAnsiTheme="minorBidi"/>
          <w:color w:val="000000" w:themeColor="text1"/>
          <w:sz w:val="16"/>
          <w:szCs w:val="16"/>
        </w:rPr>
        <w:t>https://energystorage.org/wp/wp-content/uploads/2019/09/Incentive-Report_v7.pdf.</w:t>
      </w:r>
    </w:p>
  </w:endnote>
  <w:endnote w:id="71">
    <w:p w14:paraId="63595522" w14:textId="75B9D52B" w:rsidR="005D21C6" w:rsidRPr="00AD09DE" w:rsidRDefault="005D21C6"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B741DD" w:rsidRPr="00AD09DE">
        <w:rPr>
          <w:rFonts w:asciiTheme="minorBidi" w:hAnsiTheme="minorBidi"/>
          <w:sz w:val="16"/>
          <w:szCs w:val="16"/>
        </w:rPr>
        <w:t>Ibid.</w:t>
      </w:r>
    </w:p>
  </w:endnote>
  <w:endnote w:id="72">
    <w:p w14:paraId="44E2A0B9" w14:textId="31438ABF" w:rsidR="00B741DD" w:rsidRPr="00AD09DE" w:rsidRDefault="00B741DD"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Energy Storage Association, “Policies and Issues: States,” Energy Storage Association, December 31, 2021, </w:t>
      </w:r>
      <w:r w:rsidRPr="00AD09DE">
        <w:rPr>
          <w:rFonts w:asciiTheme="minorBidi" w:hAnsiTheme="minorBidi"/>
          <w:color w:val="000000" w:themeColor="text1"/>
          <w:sz w:val="16"/>
          <w:szCs w:val="16"/>
        </w:rPr>
        <w:t>https://energystorage.org/policies-issues/states/.</w:t>
      </w:r>
    </w:p>
  </w:endnote>
  <w:endnote w:id="73">
    <w:p w14:paraId="23DDD85A" w14:textId="21C0D4D9"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proofErr w:type="spellStart"/>
      <w:r w:rsidRPr="00AD09DE">
        <w:rPr>
          <w:rFonts w:asciiTheme="minorBidi" w:hAnsiTheme="minorBidi"/>
          <w:sz w:val="16"/>
          <w:szCs w:val="16"/>
        </w:rPr>
        <w:t>Calmac</w:t>
      </w:r>
      <w:proofErr w:type="spellEnd"/>
      <w:r w:rsidRPr="00AD09DE">
        <w:rPr>
          <w:rFonts w:asciiTheme="minorBidi" w:hAnsiTheme="minorBidi"/>
          <w:sz w:val="16"/>
          <w:szCs w:val="16"/>
        </w:rPr>
        <w:t xml:space="preserve">, “California's Assembly Bill 2514 and the Grid Storage Revolution,” Energy storage articles, 2016, </w:t>
      </w:r>
      <w:r w:rsidRPr="00AD09DE">
        <w:rPr>
          <w:rFonts w:asciiTheme="minorBidi" w:hAnsiTheme="minorBidi"/>
          <w:color w:val="000000" w:themeColor="text1"/>
          <w:sz w:val="16"/>
          <w:szCs w:val="16"/>
        </w:rPr>
        <w:t>http://www.calmac.com/energy-storage-articles?category=4229.</w:t>
      </w:r>
    </w:p>
  </w:endnote>
  <w:endnote w:id="74">
    <w:p w14:paraId="375E8FDE" w14:textId="7F937A82"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Calibri" w:hAnsiTheme="minorBidi"/>
          <w:sz w:val="16"/>
          <w:szCs w:val="16"/>
        </w:rPr>
        <w:t>Ibid.</w:t>
      </w:r>
    </w:p>
  </w:endnote>
  <w:endnote w:id="75">
    <w:p w14:paraId="326AB785" w14:textId="3D020EDE"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Calibri" w:hAnsiTheme="minorBidi"/>
          <w:sz w:val="16"/>
          <w:szCs w:val="16"/>
          <w:highlight w:val="white"/>
        </w:rPr>
        <w:t xml:space="preserve">California Energy Commission, “Energy Storage Targets - Publicly Owned Utilities - AB 2514,” California Energy Commission (California Energy Commission, 2022), </w:t>
      </w:r>
      <w:r w:rsidRPr="00AD09DE">
        <w:rPr>
          <w:rFonts w:asciiTheme="minorBidi" w:eastAsia="Calibri" w:hAnsiTheme="minorBidi"/>
          <w:color w:val="000000" w:themeColor="text1"/>
          <w:sz w:val="16"/>
          <w:szCs w:val="16"/>
          <w:highlight w:val="white"/>
        </w:rPr>
        <w:t>https://www.energy.ca.gov/data-reports/reports/energy-storage-targets-publicly-owned-utilities.</w:t>
      </w:r>
    </w:p>
  </w:endnote>
  <w:endnote w:id="76">
    <w:p w14:paraId="05335A17" w14:textId="2F55FBF2"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Calibri" w:hAnsiTheme="minorBidi"/>
          <w:sz w:val="16"/>
          <w:szCs w:val="16"/>
        </w:rPr>
        <w:t xml:space="preserve">Peter Maloney, “California Looks to next Steps as Utilities near Energy Storage Targets,” Utility Dive, June 12, 2018, </w:t>
      </w:r>
      <w:r w:rsidRPr="00AD09DE">
        <w:rPr>
          <w:rFonts w:asciiTheme="minorBidi" w:eastAsia="Calibri" w:hAnsiTheme="minorBidi"/>
          <w:color w:val="000000" w:themeColor="text1"/>
          <w:sz w:val="16"/>
          <w:szCs w:val="16"/>
        </w:rPr>
        <w:t>https://www.utilitydive.com/news/california-looks-to-next-steps-as-utilities-near-energy-storage-targets/525441/.</w:t>
      </w:r>
    </w:p>
  </w:endnote>
  <w:endnote w:id="77">
    <w:p w14:paraId="39EB875F" w14:textId="30319903"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Calibri" w:hAnsiTheme="minorBidi"/>
          <w:sz w:val="16"/>
          <w:szCs w:val="16"/>
        </w:rPr>
        <w:t xml:space="preserve">Peter Maloney, “California PUC Finalizes New 500 MW BTM Battery Storage Mandate,” Utility Dive, May 4, 2017, </w:t>
      </w:r>
      <w:r w:rsidRPr="00AD09DE">
        <w:rPr>
          <w:rFonts w:asciiTheme="minorBidi" w:eastAsia="Calibri" w:hAnsiTheme="minorBidi"/>
          <w:color w:val="000000" w:themeColor="text1"/>
          <w:sz w:val="16"/>
          <w:szCs w:val="16"/>
        </w:rPr>
        <w:t>https://www.utilitydive.com/news/california-puc-finalizes-new-500-mw-btm-battery-storage-mandate/441901/.</w:t>
      </w:r>
    </w:p>
  </w:endnote>
  <w:endnote w:id="78">
    <w:p w14:paraId="51DBD41A" w14:textId="006D6497"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Robert Walton, “Facing Stricter Climate Goals, California Passes 4 Bills to Boost Energy Storage,” Utility Dive, September 2, 2016, </w:t>
      </w:r>
      <w:r w:rsidRPr="00AD09DE">
        <w:rPr>
          <w:rFonts w:asciiTheme="minorBidi" w:hAnsiTheme="minorBidi"/>
          <w:color w:val="000000" w:themeColor="text1"/>
          <w:sz w:val="16"/>
          <w:szCs w:val="16"/>
          <w:u w:val="single"/>
        </w:rPr>
        <w:t>https://www.utilitydive.com/news/facing-stricter-climate-goals-california-passes-4-bills-to-boost-energy-st/425671/.</w:t>
      </w:r>
    </w:p>
  </w:endnote>
  <w:endnote w:id="79">
    <w:p w14:paraId="2F6D84AE" w14:textId="6A9D10DC"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PG&amp;E, “Political Engagement,” PG&amp;E Political Engagement, 2022, https://www.pgecorp.com/corp/about-us/corporate-governance/corporation-policies/political-engagement.page.</w:t>
      </w:r>
    </w:p>
  </w:endnote>
  <w:endnote w:id="80">
    <w:p w14:paraId="0D3F332A" w14:textId="06572FBE"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Pr="00AD09DE">
        <w:rPr>
          <w:rFonts w:asciiTheme="minorBidi" w:eastAsia="Times New Roman" w:hAnsiTheme="minorBidi"/>
          <w:sz w:val="16"/>
          <w:szCs w:val="16"/>
        </w:rPr>
        <w:t>PG&amp;E, “Political Engagement.”</w:t>
      </w:r>
    </w:p>
  </w:endnote>
  <w:endnote w:id="81">
    <w:p w14:paraId="74A5B6F7" w14:textId="65326244"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PG&amp;E, “Advocacy and Lobbying Policies and Procedures,” PG&amp;E Advocacy and Lobbying Policies, 2022, </w:t>
      </w:r>
      <w:r w:rsidRPr="00AD09DE">
        <w:rPr>
          <w:rFonts w:asciiTheme="minorBidi" w:hAnsiTheme="minorBidi"/>
          <w:color w:val="000000" w:themeColor="text1"/>
          <w:sz w:val="16"/>
          <w:szCs w:val="16"/>
        </w:rPr>
        <w:t>https://www.pgecorp.com/corp/about-us/corporate-governance/corporation-policies/political-engagement/advocacy-lobbying.page.</w:t>
      </w:r>
    </w:p>
  </w:endnote>
  <w:endnote w:id="82">
    <w:p w14:paraId="4C519713" w14:textId="31234E70"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843916" w:rsidRPr="00AD09DE">
        <w:rPr>
          <w:rFonts w:asciiTheme="minorBidi" w:hAnsiTheme="minorBidi"/>
          <w:sz w:val="16"/>
          <w:szCs w:val="16"/>
        </w:rPr>
        <w:t>Ibid.</w:t>
      </w:r>
    </w:p>
  </w:endnote>
  <w:endnote w:id="83">
    <w:p w14:paraId="2B88F45D" w14:textId="20A843EB"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proofErr w:type="spellStart"/>
      <w:r w:rsidR="00843916" w:rsidRPr="00AD09DE">
        <w:rPr>
          <w:rFonts w:asciiTheme="minorBidi" w:hAnsiTheme="minorBidi"/>
          <w:sz w:val="16"/>
          <w:szCs w:val="16"/>
        </w:rPr>
        <w:t>Chernyakhovskiy</w:t>
      </w:r>
      <w:proofErr w:type="spellEnd"/>
      <w:r w:rsidR="00843916" w:rsidRPr="00AD09DE">
        <w:rPr>
          <w:rFonts w:asciiTheme="minorBidi" w:hAnsiTheme="minorBidi"/>
          <w:sz w:val="16"/>
          <w:szCs w:val="16"/>
        </w:rPr>
        <w:t xml:space="preserve"> et al., “USAID Energy Storage Decision Guide for Policy Makers,”</w:t>
      </w:r>
    </w:p>
  </w:endnote>
  <w:endnote w:id="84">
    <w:p w14:paraId="449A453E" w14:textId="270785FE"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843916" w:rsidRPr="00AD09DE">
        <w:rPr>
          <w:rFonts w:asciiTheme="minorBidi" w:hAnsiTheme="minorBidi"/>
          <w:sz w:val="16"/>
          <w:szCs w:val="16"/>
        </w:rPr>
        <w:t>Ibid.</w:t>
      </w:r>
    </w:p>
  </w:endnote>
  <w:endnote w:id="85">
    <w:p w14:paraId="4D3B4F3A" w14:textId="0AE4EA99"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843916" w:rsidRPr="00AD09DE">
        <w:rPr>
          <w:rFonts w:asciiTheme="minorBidi" w:hAnsiTheme="minorBidi"/>
          <w:sz w:val="16"/>
          <w:szCs w:val="16"/>
        </w:rPr>
        <w:t>Ibid.</w:t>
      </w:r>
    </w:p>
  </w:endnote>
  <w:endnote w:id="86">
    <w:p w14:paraId="19325357" w14:textId="7D358E8D"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843916" w:rsidRPr="00AD09DE">
        <w:rPr>
          <w:rFonts w:asciiTheme="minorBidi" w:hAnsiTheme="minorBidi"/>
          <w:sz w:val="16"/>
          <w:szCs w:val="16"/>
        </w:rPr>
        <w:t>PG&amp;E, “PG&amp;E Proposes Four New Cost-Effective Energy Storage Projects to CPUC,” PG&amp;E Corporation, 2018, https://investor.pgecorp.com/news-events/press-releases/press-release-details/2018/PGE-Proposes-Four-New-Cost-effective-Energy-Storage-Projects-to-CPUC/default.aspx.</w:t>
      </w:r>
    </w:p>
  </w:endnote>
  <w:endnote w:id="87">
    <w:p w14:paraId="519CC64D" w14:textId="232FF6CF"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843916" w:rsidRPr="00AD09DE">
        <w:rPr>
          <w:rFonts w:asciiTheme="minorBidi" w:hAnsiTheme="minorBidi"/>
          <w:sz w:val="16"/>
          <w:szCs w:val="16"/>
        </w:rPr>
        <w:t xml:space="preserve">California Energy Commission, “Energy Storage - Tracking Progress,” California Energy Commission2018, accessed January 31, 2022, </w:t>
      </w:r>
      <w:r w:rsidR="00843916" w:rsidRPr="00AD09DE">
        <w:rPr>
          <w:rFonts w:asciiTheme="minorBidi" w:hAnsiTheme="minorBidi"/>
          <w:color w:val="000000" w:themeColor="text1"/>
          <w:sz w:val="16"/>
          <w:szCs w:val="16"/>
        </w:rPr>
        <w:t>https://www.energy.ca.gov/sites/default/files/2019-12/energy_storage_ada.pdf.</w:t>
      </w:r>
    </w:p>
  </w:endnote>
  <w:endnote w:id="88">
    <w:p w14:paraId="77AE0478" w14:textId="0BBE2F97"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843916" w:rsidRPr="00AD09DE">
        <w:rPr>
          <w:rFonts w:asciiTheme="minorBidi" w:hAnsiTheme="minorBidi"/>
          <w:sz w:val="16"/>
          <w:szCs w:val="16"/>
        </w:rPr>
        <w:t xml:space="preserve">Seth </w:t>
      </w:r>
      <w:proofErr w:type="spellStart"/>
      <w:r w:rsidR="00843916" w:rsidRPr="00AD09DE">
        <w:rPr>
          <w:rFonts w:asciiTheme="minorBidi" w:hAnsiTheme="minorBidi"/>
          <w:sz w:val="16"/>
          <w:szCs w:val="16"/>
        </w:rPr>
        <w:t>Mullendore</w:t>
      </w:r>
      <w:proofErr w:type="spellEnd"/>
      <w:r w:rsidR="00843916" w:rsidRPr="00AD09DE">
        <w:rPr>
          <w:rFonts w:asciiTheme="minorBidi" w:hAnsiTheme="minorBidi"/>
          <w:sz w:val="16"/>
          <w:szCs w:val="16"/>
        </w:rPr>
        <w:t xml:space="preserve"> , “Energy Storage Is Failing to Reach Those Most in Need: Policy Can Help,” Renewable Energy World, July 7, 2021, </w:t>
      </w:r>
      <w:r w:rsidR="00843916" w:rsidRPr="00AD09DE">
        <w:rPr>
          <w:rFonts w:asciiTheme="minorBidi" w:hAnsiTheme="minorBidi"/>
          <w:color w:val="000000" w:themeColor="text1"/>
          <w:sz w:val="16"/>
          <w:szCs w:val="16"/>
        </w:rPr>
        <w:t>https://www.renewableenergyworld.com/blog/energy-storage-is-failing-to-reach-those-most-in-need-policy-can-help/#gref.</w:t>
      </w:r>
    </w:p>
  </w:endnote>
  <w:endnote w:id="89">
    <w:p w14:paraId="32B58E73" w14:textId="1202AD59" w:rsidR="00126ED0" w:rsidRPr="00AD09DE" w:rsidRDefault="00126ED0"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w:t>
      </w:r>
      <w:r w:rsidR="00843916" w:rsidRPr="00AD09DE">
        <w:rPr>
          <w:rFonts w:asciiTheme="minorBidi" w:hAnsiTheme="minorBidi"/>
          <w:sz w:val="16"/>
          <w:szCs w:val="16"/>
        </w:rPr>
        <w:t>Ibid.</w:t>
      </w:r>
    </w:p>
  </w:endnote>
  <w:endnote w:id="90">
    <w:p w14:paraId="75ED7925" w14:textId="54068A7E" w:rsidR="00843916" w:rsidRPr="00AD09DE" w:rsidRDefault="00843916" w:rsidP="00240993">
      <w:pPr>
        <w:pStyle w:val="EndnoteText"/>
        <w:spacing w:before="120"/>
        <w:rPr>
          <w:rFonts w:asciiTheme="minorBidi" w:hAnsiTheme="minorBidi"/>
          <w:sz w:val="16"/>
          <w:szCs w:val="16"/>
          <w:lang w:val="en-US"/>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Ibid.</w:t>
      </w:r>
    </w:p>
  </w:endnote>
  <w:endnote w:id="91">
    <w:p w14:paraId="58D83E7A" w14:textId="31A235DA" w:rsidR="001E29E4" w:rsidRPr="00024767" w:rsidRDefault="00843916" w:rsidP="00024767">
      <w:pPr>
        <w:pStyle w:val="EndnoteText"/>
        <w:spacing w:before="120"/>
        <w:rPr>
          <w:rFonts w:asciiTheme="minorBidi" w:hAnsiTheme="minorBidi"/>
          <w:sz w:val="16"/>
          <w:szCs w:val="16"/>
        </w:rPr>
      </w:pPr>
      <w:r w:rsidRPr="00AD09DE">
        <w:rPr>
          <w:rStyle w:val="EndnoteReference"/>
          <w:rFonts w:asciiTheme="minorBidi" w:hAnsiTheme="minorBidi"/>
          <w:sz w:val="16"/>
          <w:szCs w:val="16"/>
        </w:rPr>
        <w:endnoteRef/>
      </w:r>
      <w:r w:rsidRPr="00AD09DE">
        <w:rPr>
          <w:rFonts w:asciiTheme="minorBidi" w:hAnsiTheme="minorBidi"/>
          <w:sz w:val="16"/>
          <w:szCs w:val="16"/>
        </w:rPr>
        <w:t xml:space="preserve"> PG&amp;E, “Discover the Self-Generation Incentive Program for Non-Residential Customers,” PG&amp;E Corporation, 2022, https://www.pge.com/en_US/small-medium-business/energy-</w:t>
      </w:r>
      <w:r w:rsidRPr="00AD09DE">
        <w:rPr>
          <w:rFonts w:asciiTheme="minorBidi" w:hAnsiTheme="minorBidi"/>
          <w:color w:val="000000" w:themeColor="text1"/>
          <w:sz w:val="16"/>
          <w:szCs w:val="16"/>
        </w:rPr>
        <w:t>alternatives/private-solar/understand-the-solar-</w:t>
      </w:r>
      <w:r w:rsidRPr="00AD09DE">
        <w:rPr>
          <w:rFonts w:asciiTheme="minorBidi" w:hAnsiTheme="minorBidi"/>
          <w:sz w:val="16"/>
          <w:szCs w:val="16"/>
        </w:rPr>
        <w:t xml:space="preserve">process.page?WT.mc_id=Vanity_sgip. ; PG&amp;E, “Battery Storage for Your Home,” PG&amp;E Corporation, 2022, </w:t>
      </w:r>
      <w:r w:rsidR="001E29E4" w:rsidRPr="00240993">
        <w:rPr>
          <w:rFonts w:asciiTheme="minorBidi" w:hAnsiTheme="minorBidi"/>
          <w:sz w:val="16"/>
          <w:szCs w:val="16"/>
        </w:rPr>
        <w:t>https://www.pge.com/en_US/residential/solar-and-vehicles/other-solar-options/battery-storage-for-residential-customers.page</w:t>
      </w:r>
      <w:r w:rsidRPr="00AD09DE">
        <w:rPr>
          <w:rFonts w:asciiTheme="minorBidi" w:hAnsiTheme="minorBidi"/>
          <w:sz w:val="16"/>
          <w:szCs w:val="16"/>
        </w:rPr>
        <w:t>.</w:t>
      </w:r>
    </w:p>
    <w:p w14:paraId="4ECA19B7" w14:textId="77777777" w:rsidR="001E29E4" w:rsidRPr="00AD09DE" w:rsidRDefault="001E29E4" w:rsidP="00AD09DE">
      <w:pPr>
        <w:pStyle w:val="EndnoteText"/>
        <w:spacing w:before="120" w:line="276" w:lineRule="auto"/>
        <w:jc w:val="both"/>
        <w:rPr>
          <w:rFonts w:asciiTheme="minorBidi" w:hAnsiTheme="minorBidi"/>
          <w:sz w:val="16"/>
          <w:szCs w:val="16"/>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2515" w14:textId="77777777" w:rsidR="008C0439" w:rsidRDefault="008C0439">
    <w:pPr>
      <w:pStyle w:val="Footer"/>
      <w:rPr>
        <w:b/>
        <w:bCs/>
      </w:rPr>
    </w:pPr>
  </w:p>
  <w:p w14:paraId="21B86119" w14:textId="77777777" w:rsidR="008C0439" w:rsidRDefault="008C0439">
    <w:pPr>
      <w:pStyle w:val="Footer"/>
      <w:rPr>
        <w:b/>
        <w:bCs/>
      </w:rPr>
    </w:pPr>
  </w:p>
  <w:p w14:paraId="6274C20F" w14:textId="189FEA2F" w:rsidR="008C0439" w:rsidRPr="00ED6C12" w:rsidRDefault="008C0439" w:rsidP="000B4861">
    <w:pPr>
      <w:pStyle w:val="Footer"/>
    </w:pPr>
    <w:r w:rsidRPr="00ED6C12">
      <w:rPr>
        <w:b/>
        <w:bCs/>
      </w:rPr>
      <w:t xml:space="preserve">Page </w:t>
    </w:r>
    <w:sdt>
      <w:sdtPr>
        <w:rPr>
          <w:b/>
          <w:bCs/>
        </w:rPr>
        <w:id w:val="-1272768381"/>
        <w:docPartObj>
          <w:docPartGallery w:val="Page Numbers (Bottom of Page)"/>
          <w:docPartUnique/>
        </w:docPartObj>
      </w:sdtPr>
      <w:sdtEndPr>
        <w:rPr>
          <w:noProof/>
        </w:rPr>
      </w:sdtEndPr>
      <w:sdtContent>
        <w:r w:rsidRPr="00ED6C12">
          <w:rPr>
            <w:b/>
            <w:bCs/>
          </w:rPr>
          <w:fldChar w:fldCharType="begin"/>
        </w:r>
        <w:r w:rsidRPr="00ED6C12">
          <w:rPr>
            <w:b/>
            <w:bCs/>
          </w:rPr>
          <w:instrText xml:space="preserve"> PAGE   \* MERGEFORMAT </w:instrText>
        </w:r>
        <w:r w:rsidRPr="00ED6C12">
          <w:rPr>
            <w:b/>
            <w:bCs/>
          </w:rPr>
          <w:fldChar w:fldCharType="separate"/>
        </w:r>
        <w:r w:rsidRPr="00ED6C12">
          <w:rPr>
            <w:b/>
            <w:bCs/>
            <w:noProof/>
          </w:rPr>
          <w:t>2</w:t>
        </w:r>
        <w:r w:rsidRPr="00ED6C12">
          <w:rPr>
            <w:b/>
            <w:bCs/>
            <w:noProof/>
          </w:rPr>
          <w:fldChar w:fldCharType="end"/>
        </w:r>
        <w:r>
          <w:rPr>
            <w:b/>
            <w:bCs/>
            <w:noProof/>
          </w:rPr>
          <w:t xml:space="preserve">       </w:t>
        </w:r>
        <w:r w:rsidRPr="00ED6C12">
          <w:rPr>
            <w:color w:val="000000"/>
          </w:rPr>
          <w:t>Political Risk Assessment:</w:t>
        </w:r>
      </w:sdtContent>
    </w:sdt>
    <w:r w:rsidRPr="00ED6C12">
      <w:rPr>
        <w:color w:val="000000"/>
      </w:rPr>
      <w:t xml:space="preserve"> </w:t>
    </w:r>
    <w:r w:rsidR="00240993">
      <w:rPr>
        <w:color w:val="000000"/>
      </w:rPr>
      <w:t>Pacific Gas &amp; Electric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950851"/>
      <w:docPartObj>
        <w:docPartGallery w:val="Page Numbers (Bottom of Page)"/>
        <w:docPartUnique/>
      </w:docPartObj>
    </w:sdtPr>
    <w:sdtEndPr>
      <w:rPr>
        <w:noProof/>
      </w:rPr>
    </w:sdtEndPr>
    <w:sdtContent>
      <w:p w14:paraId="2C87C840" w14:textId="77777777" w:rsidR="008C0439" w:rsidRDefault="008C0439" w:rsidP="001237C7">
        <w:pPr>
          <w:pStyle w:val="Footer"/>
        </w:pPr>
      </w:p>
      <w:p w14:paraId="74E28CA5" w14:textId="77777777" w:rsidR="008C0439" w:rsidRDefault="008C0439" w:rsidP="001237C7">
        <w:pPr>
          <w:pStyle w:val="Footer"/>
        </w:pPr>
      </w:p>
      <w:p w14:paraId="4B4DEAE0" w14:textId="2A465058" w:rsidR="008C0439" w:rsidRDefault="008C0439" w:rsidP="001237C7">
        <w:pPr>
          <w:pStyle w:val="Footer"/>
        </w:pPr>
        <w:r>
          <w:rPr>
            <w:b/>
            <w:bCs/>
          </w:rPr>
          <w:t>Page</w:t>
        </w:r>
        <w:r w:rsidRPr="00ED6C12">
          <w:rPr>
            <w:b/>
            <w:bCs/>
          </w:rPr>
          <w:t xml:space="preserve"> </w:t>
        </w:r>
        <w:r w:rsidRPr="00ED6C12">
          <w:rPr>
            <w:b/>
            <w:bCs/>
          </w:rPr>
          <w:fldChar w:fldCharType="begin"/>
        </w:r>
        <w:r w:rsidRPr="00ED6C12">
          <w:rPr>
            <w:b/>
            <w:bCs/>
          </w:rPr>
          <w:instrText xml:space="preserve"> PAGE   \* MERGEFORMAT </w:instrText>
        </w:r>
        <w:r w:rsidRPr="00ED6C12">
          <w:rPr>
            <w:b/>
            <w:bCs/>
          </w:rPr>
          <w:fldChar w:fldCharType="separate"/>
        </w:r>
        <w:r w:rsidRPr="00ED6C12">
          <w:rPr>
            <w:b/>
            <w:bCs/>
            <w:noProof/>
          </w:rPr>
          <w:t>2</w:t>
        </w:r>
        <w:r w:rsidRPr="00ED6C12">
          <w:rPr>
            <w:b/>
            <w:bCs/>
            <w:noProof/>
          </w:rPr>
          <w:fldChar w:fldCharType="end"/>
        </w:r>
        <w:r w:rsidR="001237C7">
          <w:rPr>
            <w:b/>
            <w:bCs/>
            <w:noProof/>
          </w:rPr>
          <w:t xml:space="preserve">       </w:t>
        </w:r>
        <w:r>
          <w:rPr>
            <w:color w:val="000000"/>
          </w:rPr>
          <w:t>Leadership &amp; Democracy Lab, University of Western Ontario</w:t>
        </w:r>
      </w:p>
    </w:sdtContent>
  </w:sdt>
  <w:p w14:paraId="568FFB3D" w14:textId="77777777" w:rsidR="008C0439" w:rsidRDefault="008C0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57DE3" w14:textId="77777777" w:rsidR="009A0FA2" w:rsidRDefault="009A0FA2" w:rsidP="00AD442E">
      <w:pPr>
        <w:spacing w:after="0" w:line="240" w:lineRule="auto"/>
      </w:pPr>
      <w:r>
        <w:separator/>
      </w:r>
    </w:p>
  </w:footnote>
  <w:footnote w:type="continuationSeparator" w:id="0">
    <w:p w14:paraId="62EB82EB" w14:textId="77777777" w:rsidR="009A0FA2" w:rsidRDefault="009A0FA2" w:rsidP="00AD442E">
      <w:pPr>
        <w:spacing w:after="0" w:line="240" w:lineRule="auto"/>
      </w:pPr>
      <w:r>
        <w:continuationSeparator/>
      </w:r>
    </w:p>
  </w:footnote>
  <w:footnote w:type="continuationNotice" w:id="1">
    <w:p w14:paraId="2974FFF1" w14:textId="77777777" w:rsidR="009A0FA2" w:rsidRDefault="009A0F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1B2C"/>
    <w:multiLevelType w:val="multilevel"/>
    <w:tmpl w:val="60DC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D1E8F"/>
    <w:multiLevelType w:val="hybridMultilevel"/>
    <w:tmpl w:val="0CA6A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0F52D2"/>
    <w:multiLevelType w:val="hybridMultilevel"/>
    <w:tmpl w:val="33A6C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543445"/>
    <w:multiLevelType w:val="hybridMultilevel"/>
    <w:tmpl w:val="E18C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D5D24"/>
    <w:multiLevelType w:val="hybridMultilevel"/>
    <w:tmpl w:val="11147F28"/>
    <w:lvl w:ilvl="0" w:tplc="4ECC72A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990FA7"/>
    <w:multiLevelType w:val="multilevel"/>
    <w:tmpl w:val="4556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9E1D2B"/>
    <w:multiLevelType w:val="hybridMultilevel"/>
    <w:tmpl w:val="B2D0824E"/>
    <w:lvl w:ilvl="0" w:tplc="4ECC72A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EE33F3B"/>
    <w:multiLevelType w:val="hybridMultilevel"/>
    <w:tmpl w:val="177E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FF21E9"/>
    <w:multiLevelType w:val="multilevel"/>
    <w:tmpl w:val="36B67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7130014">
    <w:abstractNumId w:val="5"/>
  </w:num>
  <w:num w:numId="2" w16cid:durableId="496726705">
    <w:abstractNumId w:val="0"/>
  </w:num>
  <w:num w:numId="3" w16cid:durableId="787890971">
    <w:abstractNumId w:val="8"/>
  </w:num>
  <w:num w:numId="4" w16cid:durableId="438258616">
    <w:abstractNumId w:val="1"/>
  </w:num>
  <w:num w:numId="5" w16cid:durableId="2144616743">
    <w:abstractNumId w:val="6"/>
  </w:num>
  <w:num w:numId="6" w16cid:durableId="1746223612">
    <w:abstractNumId w:val="4"/>
  </w:num>
  <w:num w:numId="7" w16cid:durableId="108011995">
    <w:abstractNumId w:val="2"/>
  </w:num>
  <w:num w:numId="8" w16cid:durableId="1934510402">
    <w:abstractNumId w:val="3"/>
  </w:num>
  <w:num w:numId="9" w16cid:durableId="6197286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20"/>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E63"/>
    <w:rsid w:val="000068B2"/>
    <w:rsid w:val="0001147C"/>
    <w:rsid w:val="00024767"/>
    <w:rsid w:val="000471D5"/>
    <w:rsid w:val="00065D90"/>
    <w:rsid w:val="00067161"/>
    <w:rsid w:val="000A02C8"/>
    <w:rsid w:val="000A3D3A"/>
    <w:rsid w:val="000A6695"/>
    <w:rsid w:val="000B1C91"/>
    <w:rsid w:val="000B4861"/>
    <w:rsid w:val="000C7D30"/>
    <w:rsid w:val="000F3623"/>
    <w:rsid w:val="001021E7"/>
    <w:rsid w:val="00102201"/>
    <w:rsid w:val="00102B9C"/>
    <w:rsid w:val="001237C7"/>
    <w:rsid w:val="00126ED0"/>
    <w:rsid w:val="00147B6C"/>
    <w:rsid w:val="00161717"/>
    <w:rsid w:val="00164A70"/>
    <w:rsid w:val="00183DA4"/>
    <w:rsid w:val="00183E6A"/>
    <w:rsid w:val="00193986"/>
    <w:rsid w:val="001C72A3"/>
    <w:rsid w:val="001D4336"/>
    <w:rsid w:val="001E29E4"/>
    <w:rsid w:val="001E6476"/>
    <w:rsid w:val="002158A1"/>
    <w:rsid w:val="002159B8"/>
    <w:rsid w:val="00217CDD"/>
    <w:rsid w:val="00221DAA"/>
    <w:rsid w:val="00240993"/>
    <w:rsid w:val="00241FC6"/>
    <w:rsid w:val="0024283A"/>
    <w:rsid w:val="00251604"/>
    <w:rsid w:val="00255FE1"/>
    <w:rsid w:val="00262682"/>
    <w:rsid w:val="00274CE7"/>
    <w:rsid w:val="0028559D"/>
    <w:rsid w:val="002A2CF8"/>
    <w:rsid w:val="002B25CB"/>
    <w:rsid w:val="002C18FF"/>
    <w:rsid w:val="002C2D73"/>
    <w:rsid w:val="002C754F"/>
    <w:rsid w:val="002E626B"/>
    <w:rsid w:val="00301BD9"/>
    <w:rsid w:val="0030682B"/>
    <w:rsid w:val="00310FE0"/>
    <w:rsid w:val="00333E2A"/>
    <w:rsid w:val="003657AD"/>
    <w:rsid w:val="003721C1"/>
    <w:rsid w:val="0037289D"/>
    <w:rsid w:val="003743C1"/>
    <w:rsid w:val="00382070"/>
    <w:rsid w:val="0038346C"/>
    <w:rsid w:val="003B4B13"/>
    <w:rsid w:val="003C4143"/>
    <w:rsid w:val="003C41B7"/>
    <w:rsid w:val="003C7654"/>
    <w:rsid w:val="003E2CEA"/>
    <w:rsid w:val="003E3240"/>
    <w:rsid w:val="003E384A"/>
    <w:rsid w:val="003F4E63"/>
    <w:rsid w:val="00432F4C"/>
    <w:rsid w:val="00442012"/>
    <w:rsid w:val="00443A57"/>
    <w:rsid w:val="00450370"/>
    <w:rsid w:val="00461B89"/>
    <w:rsid w:val="004828EF"/>
    <w:rsid w:val="00487AE5"/>
    <w:rsid w:val="004953DD"/>
    <w:rsid w:val="00496C69"/>
    <w:rsid w:val="004A45BE"/>
    <w:rsid w:val="004B21CD"/>
    <w:rsid w:val="004D798B"/>
    <w:rsid w:val="004E343B"/>
    <w:rsid w:val="004F3092"/>
    <w:rsid w:val="004F7403"/>
    <w:rsid w:val="00513F58"/>
    <w:rsid w:val="005172FF"/>
    <w:rsid w:val="005330AD"/>
    <w:rsid w:val="00555C7D"/>
    <w:rsid w:val="00561CE0"/>
    <w:rsid w:val="00565DED"/>
    <w:rsid w:val="00580F20"/>
    <w:rsid w:val="005858ED"/>
    <w:rsid w:val="00591F93"/>
    <w:rsid w:val="005A623D"/>
    <w:rsid w:val="005C3EF9"/>
    <w:rsid w:val="005D21C6"/>
    <w:rsid w:val="005E1C6E"/>
    <w:rsid w:val="005E752F"/>
    <w:rsid w:val="005F598E"/>
    <w:rsid w:val="00623D20"/>
    <w:rsid w:val="006632FB"/>
    <w:rsid w:val="006857A7"/>
    <w:rsid w:val="006941A7"/>
    <w:rsid w:val="00697C0B"/>
    <w:rsid w:val="006A5628"/>
    <w:rsid w:val="006C39B8"/>
    <w:rsid w:val="006F38F0"/>
    <w:rsid w:val="0072735F"/>
    <w:rsid w:val="00740ECA"/>
    <w:rsid w:val="0076725F"/>
    <w:rsid w:val="00773940"/>
    <w:rsid w:val="00775FC6"/>
    <w:rsid w:val="0078287F"/>
    <w:rsid w:val="00784D78"/>
    <w:rsid w:val="007A2424"/>
    <w:rsid w:val="007A6576"/>
    <w:rsid w:val="007C0CBF"/>
    <w:rsid w:val="008050B2"/>
    <w:rsid w:val="0081422F"/>
    <w:rsid w:val="00815A59"/>
    <w:rsid w:val="008314A1"/>
    <w:rsid w:val="00835A33"/>
    <w:rsid w:val="00843916"/>
    <w:rsid w:val="00856224"/>
    <w:rsid w:val="008562CF"/>
    <w:rsid w:val="0086062C"/>
    <w:rsid w:val="00862313"/>
    <w:rsid w:val="00866586"/>
    <w:rsid w:val="008917E0"/>
    <w:rsid w:val="00892E50"/>
    <w:rsid w:val="008A605E"/>
    <w:rsid w:val="008C0439"/>
    <w:rsid w:val="008C56F4"/>
    <w:rsid w:val="00917374"/>
    <w:rsid w:val="009239CF"/>
    <w:rsid w:val="009528B6"/>
    <w:rsid w:val="00952918"/>
    <w:rsid w:val="009705BE"/>
    <w:rsid w:val="0098022A"/>
    <w:rsid w:val="009A0FA2"/>
    <w:rsid w:val="009D4998"/>
    <w:rsid w:val="009E511A"/>
    <w:rsid w:val="009E7742"/>
    <w:rsid w:val="00A26875"/>
    <w:rsid w:val="00A45883"/>
    <w:rsid w:val="00A57032"/>
    <w:rsid w:val="00A81E9D"/>
    <w:rsid w:val="00AB5DD5"/>
    <w:rsid w:val="00AB7554"/>
    <w:rsid w:val="00AC6CF2"/>
    <w:rsid w:val="00AD09DE"/>
    <w:rsid w:val="00AD2CDD"/>
    <w:rsid w:val="00AD442E"/>
    <w:rsid w:val="00B04BD9"/>
    <w:rsid w:val="00B23924"/>
    <w:rsid w:val="00B34063"/>
    <w:rsid w:val="00B36023"/>
    <w:rsid w:val="00B424FD"/>
    <w:rsid w:val="00B5665B"/>
    <w:rsid w:val="00B741DD"/>
    <w:rsid w:val="00B75307"/>
    <w:rsid w:val="00B77856"/>
    <w:rsid w:val="00B97898"/>
    <w:rsid w:val="00BB2967"/>
    <w:rsid w:val="00BC0C52"/>
    <w:rsid w:val="00BD48E5"/>
    <w:rsid w:val="00C26955"/>
    <w:rsid w:val="00C352B7"/>
    <w:rsid w:val="00C53E66"/>
    <w:rsid w:val="00C567E9"/>
    <w:rsid w:val="00C617C3"/>
    <w:rsid w:val="00C66487"/>
    <w:rsid w:val="00CC4C19"/>
    <w:rsid w:val="00CD30AA"/>
    <w:rsid w:val="00CE2486"/>
    <w:rsid w:val="00D000F5"/>
    <w:rsid w:val="00D06A12"/>
    <w:rsid w:val="00D13EEA"/>
    <w:rsid w:val="00D448B8"/>
    <w:rsid w:val="00D52530"/>
    <w:rsid w:val="00D53A90"/>
    <w:rsid w:val="00D60C29"/>
    <w:rsid w:val="00D66331"/>
    <w:rsid w:val="00D700EB"/>
    <w:rsid w:val="00D77AAF"/>
    <w:rsid w:val="00D816AF"/>
    <w:rsid w:val="00D8208E"/>
    <w:rsid w:val="00D8709B"/>
    <w:rsid w:val="00DA2219"/>
    <w:rsid w:val="00DA6956"/>
    <w:rsid w:val="00DF28CE"/>
    <w:rsid w:val="00E25F12"/>
    <w:rsid w:val="00E37432"/>
    <w:rsid w:val="00E510A4"/>
    <w:rsid w:val="00E5161A"/>
    <w:rsid w:val="00EA01B0"/>
    <w:rsid w:val="00EA0ADD"/>
    <w:rsid w:val="00EB1186"/>
    <w:rsid w:val="00EB3B9A"/>
    <w:rsid w:val="00ED6C12"/>
    <w:rsid w:val="00EE161C"/>
    <w:rsid w:val="00EF6494"/>
    <w:rsid w:val="00F44587"/>
    <w:rsid w:val="00F52FEE"/>
    <w:rsid w:val="00F63519"/>
    <w:rsid w:val="00F82E51"/>
    <w:rsid w:val="00F94DC1"/>
    <w:rsid w:val="00FC0367"/>
    <w:rsid w:val="00FD1E33"/>
    <w:rsid w:val="00FD7FA6"/>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DF669"/>
  <w15:chartTrackingRefBased/>
  <w15:docId w15:val="{1F0EA93D-F667-4431-AB2D-87CC1DE7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7C0CBF"/>
    <w:pPr>
      <w:outlineLvl w:val="0"/>
    </w:pPr>
  </w:style>
  <w:style w:type="paragraph" w:styleId="Heading2">
    <w:name w:val="heading 2"/>
    <w:basedOn w:val="Normal"/>
    <w:next w:val="Normal"/>
    <w:link w:val="Heading2Char"/>
    <w:uiPriority w:val="9"/>
    <w:unhideWhenUsed/>
    <w:qFormat/>
    <w:rsid w:val="003F4E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D79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4E6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7C0CBF"/>
    <w:rPr>
      <w:rFonts w:ascii="Arial" w:eastAsia="Times New Roman" w:hAnsi="Arial" w:cs="Arial"/>
      <w:b/>
      <w:bCs/>
      <w:color w:val="000000"/>
      <w:sz w:val="56"/>
      <w:szCs w:val="56"/>
      <w:lang w:eastAsia="en-CA"/>
    </w:rPr>
  </w:style>
  <w:style w:type="character" w:customStyle="1" w:styleId="Heading2Char">
    <w:name w:val="Heading 2 Char"/>
    <w:basedOn w:val="DefaultParagraphFont"/>
    <w:link w:val="Heading2"/>
    <w:uiPriority w:val="9"/>
    <w:rsid w:val="003F4E6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25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42E"/>
  </w:style>
  <w:style w:type="paragraph" w:styleId="Footer">
    <w:name w:val="footer"/>
    <w:basedOn w:val="Normal"/>
    <w:link w:val="FooterChar"/>
    <w:uiPriority w:val="99"/>
    <w:unhideWhenUsed/>
    <w:rsid w:val="00AD4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42E"/>
  </w:style>
  <w:style w:type="paragraph" w:styleId="TOCHeading">
    <w:name w:val="TOC Heading"/>
    <w:basedOn w:val="Heading1"/>
    <w:next w:val="Normal"/>
    <w:uiPriority w:val="39"/>
    <w:unhideWhenUsed/>
    <w:qFormat/>
    <w:rsid w:val="004D798B"/>
    <w:pPr>
      <w:outlineLvl w:val="9"/>
    </w:pPr>
    <w:rPr>
      <w:lang w:val="en-US"/>
    </w:rPr>
  </w:style>
  <w:style w:type="character" w:customStyle="1" w:styleId="Heading3Char">
    <w:name w:val="Heading 3 Char"/>
    <w:basedOn w:val="DefaultParagraphFont"/>
    <w:link w:val="Heading3"/>
    <w:uiPriority w:val="9"/>
    <w:rsid w:val="004D798B"/>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D798B"/>
    <w:rPr>
      <w:b/>
      <w:bCs/>
    </w:rPr>
  </w:style>
  <w:style w:type="paragraph" w:styleId="NoSpacing">
    <w:name w:val="No Spacing"/>
    <w:uiPriority w:val="1"/>
    <w:qFormat/>
    <w:rsid w:val="00AC6CF2"/>
    <w:pPr>
      <w:spacing w:after="0" w:line="240" w:lineRule="auto"/>
    </w:pPr>
  </w:style>
  <w:style w:type="character" w:styleId="Emphasis">
    <w:name w:val="Emphasis"/>
    <w:basedOn w:val="DefaultParagraphFont"/>
    <w:uiPriority w:val="20"/>
    <w:qFormat/>
    <w:rsid w:val="00AC6CF2"/>
    <w:rPr>
      <w:i/>
      <w:iCs/>
    </w:rPr>
  </w:style>
  <w:style w:type="character" w:styleId="IntenseEmphasis">
    <w:name w:val="Intense Emphasis"/>
    <w:basedOn w:val="DefaultParagraphFont"/>
    <w:uiPriority w:val="21"/>
    <w:qFormat/>
    <w:rsid w:val="00AC6CF2"/>
    <w:rPr>
      <w:i/>
      <w:iCs/>
      <w:color w:val="4472C4" w:themeColor="accent1"/>
    </w:rPr>
  </w:style>
  <w:style w:type="paragraph" w:styleId="Caption">
    <w:name w:val="caption"/>
    <w:basedOn w:val="Normal"/>
    <w:next w:val="Normal"/>
    <w:uiPriority w:val="35"/>
    <w:unhideWhenUsed/>
    <w:qFormat/>
    <w:rsid w:val="00183E6A"/>
    <w:pPr>
      <w:spacing w:after="200" w:line="240" w:lineRule="auto"/>
    </w:pPr>
    <w:rPr>
      <w:i/>
      <w:iCs/>
      <w:color w:val="44546A" w:themeColor="text2"/>
      <w:sz w:val="18"/>
      <w:szCs w:val="18"/>
    </w:rPr>
  </w:style>
  <w:style w:type="character" w:styleId="Hyperlink">
    <w:name w:val="Hyperlink"/>
    <w:basedOn w:val="DefaultParagraphFont"/>
    <w:uiPriority w:val="99"/>
    <w:unhideWhenUsed/>
    <w:rsid w:val="007A2424"/>
    <w:rPr>
      <w:color w:val="0000FF"/>
      <w:u w:val="single"/>
    </w:rPr>
  </w:style>
  <w:style w:type="character" w:customStyle="1" w:styleId="apple-tab-span">
    <w:name w:val="apple-tab-span"/>
    <w:basedOn w:val="DefaultParagraphFont"/>
    <w:rsid w:val="007A2424"/>
  </w:style>
  <w:style w:type="paragraph" w:styleId="Title">
    <w:name w:val="Title"/>
    <w:basedOn w:val="Normal"/>
    <w:next w:val="Normal"/>
    <w:link w:val="TitleChar"/>
    <w:uiPriority w:val="10"/>
    <w:qFormat/>
    <w:rsid w:val="007C0CBF"/>
    <w:pPr>
      <w:spacing w:after="0" w:line="240" w:lineRule="auto"/>
    </w:pPr>
    <w:rPr>
      <w:rFonts w:ascii="Arial" w:eastAsia="Times New Roman" w:hAnsi="Arial" w:cs="Arial"/>
      <w:b/>
      <w:bCs/>
      <w:color w:val="000000"/>
      <w:sz w:val="56"/>
      <w:szCs w:val="56"/>
      <w:lang w:eastAsia="en-CA"/>
    </w:rPr>
  </w:style>
  <w:style w:type="character" w:customStyle="1" w:styleId="TitleChar">
    <w:name w:val="Title Char"/>
    <w:basedOn w:val="DefaultParagraphFont"/>
    <w:link w:val="Title"/>
    <w:uiPriority w:val="10"/>
    <w:rsid w:val="007C0CBF"/>
    <w:rPr>
      <w:rFonts w:ascii="Arial" w:eastAsia="Times New Roman" w:hAnsi="Arial" w:cs="Arial"/>
      <w:b/>
      <w:bCs/>
      <w:color w:val="000000"/>
      <w:sz w:val="56"/>
      <w:szCs w:val="56"/>
      <w:lang w:eastAsia="en-CA"/>
    </w:rPr>
  </w:style>
  <w:style w:type="paragraph" w:styleId="TOC1">
    <w:name w:val="toc 1"/>
    <w:basedOn w:val="Normal"/>
    <w:next w:val="Normal"/>
    <w:autoRedefine/>
    <w:uiPriority w:val="39"/>
    <w:unhideWhenUsed/>
    <w:rsid w:val="007C0CBF"/>
    <w:pPr>
      <w:spacing w:after="100"/>
    </w:pPr>
  </w:style>
  <w:style w:type="paragraph" w:styleId="EndnoteText">
    <w:name w:val="endnote text"/>
    <w:basedOn w:val="Normal"/>
    <w:link w:val="EndnoteTextChar"/>
    <w:uiPriority w:val="99"/>
    <w:unhideWhenUsed/>
    <w:rsid w:val="00D000F5"/>
    <w:pPr>
      <w:spacing w:after="0" w:line="240" w:lineRule="auto"/>
    </w:pPr>
    <w:rPr>
      <w:sz w:val="20"/>
      <w:szCs w:val="20"/>
    </w:rPr>
  </w:style>
  <w:style w:type="character" w:customStyle="1" w:styleId="EndnoteTextChar">
    <w:name w:val="Endnote Text Char"/>
    <w:basedOn w:val="DefaultParagraphFont"/>
    <w:link w:val="EndnoteText"/>
    <w:uiPriority w:val="99"/>
    <w:rsid w:val="00D000F5"/>
    <w:rPr>
      <w:sz w:val="20"/>
      <w:szCs w:val="20"/>
    </w:rPr>
  </w:style>
  <w:style w:type="character" w:styleId="EndnoteReference">
    <w:name w:val="endnote reference"/>
    <w:basedOn w:val="DefaultParagraphFont"/>
    <w:uiPriority w:val="99"/>
    <w:semiHidden/>
    <w:unhideWhenUsed/>
    <w:rsid w:val="00D000F5"/>
    <w:rPr>
      <w:vertAlign w:val="superscript"/>
    </w:rPr>
  </w:style>
  <w:style w:type="paragraph" w:styleId="FootnoteText">
    <w:name w:val="footnote text"/>
    <w:basedOn w:val="Normal"/>
    <w:link w:val="FootnoteTextChar"/>
    <w:uiPriority w:val="99"/>
    <w:unhideWhenUsed/>
    <w:rsid w:val="00D000F5"/>
    <w:pPr>
      <w:spacing w:after="0" w:line="240" w:lineRule="auto"/>
    </w:pPr>
    <w:rPr>
      <w:sz w:val="20"/>
      <w:szCs w:val="20"/>
    </w:rPr>
  </w:style>
  <w:style w:type="character" w:customStyle="1" w:styleId="FootnoteTextChar">
    <w:name w:val="Footnote Text Char"/>
    <w:basedOn w:val="DefaultParagraphFont"/>
    <w:link w:val="FootnoteText"/>
    <w:uiPriority w:val="99"/>
    <w:rsid w:val="00D000F5"/>
    <w:rPr>
      <w:sz w:val="20"/>
      <w:szCs w:val="20"/>
    </w:rPr>
  </w:style>
  <w:style w:type="character" w:styleId="FootnoteReference">
    <w:name w:val="footnote reference"/>
    <w:basedOn w:val="DefaultParagraphFont"/>
    <w:uiPriority w:val="99"/>
    <w:semiHidden/>
    <w:unhideWhenUsed/>
    <w:rsid w:val="00D000F5"/>
    <w:rPr>
      <w:vertAlign w:val="superscript"/>
    </w:rPr>
  </w:style>
  <w:style w:type="character" w:styleId="UnresolvedMention">
    <w:name w:val="Unresolved Mention"/>
    <w:basedOn w:val="DefaultParagraphFont"/>
    <w:uiPriority w:val="99"/>
    <w:semiHidden/>
    <w:unhideWhenUsed/>
    <w:rsid w:val="00CE2486"/>
    <w:rPr>
      <w:color w:val="605E5C"/>
      <w:shd w:val="clear" w:color="auto" w:fill="E1DFDD"/>
    </w:rPr>
  </w:style>
  <w:style w:type="paragraph" w:styleId="BalloonText">
    <w:name w:val="Balloon Text"/>
    <w:basedOn w:val="Normal"/>
    <w:link w:val="BalloonTextChar"/>
    <w:uiPriority w:val="99"/>
    <w:semiHidden/>
    <w:unhideWhenUsed/>
    <w:rsid w:val="008C04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439"/>
    <w:rPr>
      <w:rFonts w:ascii="Segoe UI" w:hAnsi="Segoe UI" w:cs="Segoe UI"/>
      <w:sz w:val="18"/>
      <w:szCs w:val="18"/>
    </w:rPr>
  </w:style>
  <w:style w:type="paragraph" w:customStyle="1" w:styleId="Default">
    <w:name w:val="Default"/>
    <w:rsid w:val="00775FC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u w:color="000000"/>
      <w:bdr w:val="nil"/>
      <w:lang w:val="en-US" w:bidi="he-IL"/>
      <w14:textOutline w14:w="12700" w14:cap="flat" w14:cmpd="sng" w14:algn="ctr">
        <w14:noFill/>
        <w14:prstDash w14:val="solid"/>
        <w14:miter w14:lim="400000"/>
      </w14:textOutline>
    </w:rPr>
  </w:style>
  <w:style w:type="paragraph" w:styleId="ListParagraph">
    <w:name w:val="List Paragraph"/>
    <w:basedOn w:val="Normal"/>
    <w:uiPriority w:val="34"/>
    <w:qFormat/>
    <w:rsid w:val="0001147C"/>
    <w:pPr>
      <w:ind w:left="720"/>
      <w:contextualSpacing/>
    </w:pPr>
  </w:style>
  <w:style w:type="paragraph" w:customStyle="1" w:styleId="p1">
    <w:name w:val="p1"/>
    <w:basedOn w:val="Normal"/>
    <w:rsid w:val="00F63519"/>
    <w:pPr>
      <w:spacing w:after="0" w:line="240" w:lineRule="auto"/>
    </w:pPr>
    <w:rPr>
      <w:rFonts w:ascii="Helvetica" w:eastAsiaTheme="minorEastAsia" w:hAnsi="Helvetica" w:cs="Times New Roman"/>
      <w:color w:val="000000"/>
      <w:sz w:val="12"/>
      <w:szCs w:val="12"/>
    </w:rPr>
  </w:style>
  <w:style w:type="character" w:customStyle="1" w:styleId="s1">
    <w:name w:val="s1"/>
    <w:basedOn w:val="DefaultParagraphFont"/>
    <w:rsid w:val="00F63519"/>
    <w:rPr>
      <w:rFonts w:ascii="Helvetica" w:hAnsi="Helvetica" w:hint="default"/>
      <w:b w:val="0"/>
      <w:bCs w:val="0"/>
      <w:i w:val="0"/>
      <w:iCs w:val="0"/>
      <w:sz w:val="12"/>
      <w:szCs w:val="12"/>
    </w:rPr>
  </w:style>
  <w:style w:type="character" w:customStyle="1" w:styleId="apple-converted-space">
    <w:name w:val="apple-converted-space"/>
    <w:basedOn w:val="DefaultParagraphFont"/>
    <w:rsid w:val="00F63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669">
      <w:bodyDiv w:val="1"/>
      <w:marLeft w:val="0"/>
      <w:marRight w:val="0"/>
      <w:marTop w:val="0"/>
      <w:marBottom w:val="0"/>
      <w:divBdr>
        <w:top w:val="none" w:sz="0" w:space="0" w:color="auto"/>
        <w:left w:val="none" w:sz="0" w:space="0" w:color="auto"/>
        <w:bottom w:val="none" w:sz="0" w:space="0" w:color="auto"/>
        <w:right w:val="none" w:sz="0" w:space="0" w:color="auto"/>
      </w:divBdr>
    </w:div>
    <w:div w:id="7292782">
      <w:bodyDiv w:val="1"/>
      <w:marLeft w:val="0"/>
      <w:marRight w:val="0"/>
      <w:marTop w:val="0"/>
      <w:marBottom w:val="0"/>
      <w:divBdr>
        <w:top w:val="none" w:sz="0" w:space="0" w:color="auto"/>
        <w:left w:val="none" w:sz="0" w:space="0" w:color="auto"/>
        <w:bottom w:val="none" w:sz="0" w:space="0" w:color="auto"/>
        <w:right w:val="none" w:sz="0" w:space="0" w:color="auto"/>
      </w:divBdr>
    </w:div>
    <w:div w:id="53050773">
      <w:bodyDiv w:val="1"/>
      <w:marLeft w:val="0"/>
      <w:marRight w:val="0"/>
      <w:marTop w:val="0"/>
      <w:marBottom w:val="0"/>
      <w:divBdr>
        <w:top w:val="none" w:sz="0" w:space="0" w:color="auto"/>
        <w:left w:val="none" w:sz="0" w:space="0" w:color="auto"/>
        <w:bottom w:val="none" w:sz="0" w:space="0" w:color="auto"/>
        <w:right w:val="none" w:sz="0" w:space="0" w:color="auto"/>
      </w:divBdr>
    </w:div>
    <w:div w:id="65148855">
      <w:bodyDiv w:val="1"/>
      <w:marLeft w:val="0"/>
      <w:marRight w:val="0"/>
      <w:marTop w:val="0"/>
      <w:marBottom w:val="0"/>
      <w:divBdr>
        <w:top w:val="none" w:sz="0" w:space="0" w:color="auto"/>
        <w:left w:val="none" w:sz="0" w:space="0" w:color="auto"/>
        <w:bottom w:val="none" w:sz="0" w:space="0" w:color="auto"/>
        <w:right w:val="none" w:sz="0" w:space="0" w:color="auto"/>
      </w:divBdr>
    </w:div>
    <w:div w:id="73170136">
      <w:bodyDiv w:val="1"/>
      <w:marLeft w:val="0"/>
      <w:marRight w:val="0"/>
      <w:marTop w:val="0"/>
      <w:marBottom w:val="0"/>
      <w:divBdr>
        <w:top w:val="none" w:sz="0" w:space="0" w:color="auto"/>
        <w:left w:val="none" w:sz="0" w:space="0" w:color="auto"/>
        <w:bottom w:val="none" w:sz="0" w:space="0" w:color="auto"/>
        <w:right w:val="none" w:sz="0" w:space="0" w:color="auto"/>
      </w:divBdr>
    </w:div>
    <w:div w:id="102574108">
      <w:bodyDiv w:val="1"/>
      <w:marLeft w:val="0"/>
      <w:marRight w:val="0"/>
      <w:marTop w:val="0"/>
      <w:marBottom w:val="0"/>
      <w:divBdr>
        <w:top w:val="none" w:sz="0" w:space="0" w:color="auto"/>
        <w:left w:val="none" w:sz="0" w:space="0" w:color="auto"/>
        <w:bottom w:val="none" w:sz="0" w:space="0" w:color="auto"/>
        <w:right w:val="none" w:sz="0" w:space="0" w:color="auto"/>
      </w:divBdr>
    </w:div>
    <w:div w:id="102847369">
      <w:bodyDiv w:val="1"/>
      <w:marLeft w:val="0"/>
      <w:marRight w:val="0"/>
      <w:marTop w:val="0"/>
      <w:marBottom w:val="0"/>
      <w:divBdr>
        <w:top w:val="none" w:sz="0" w:space="0" w:color="auto"/>
        <w:left w:val="none" w:sz="0" w:space="0" w:color="auto"/>
        <w:bottom w:val="none" w:sz="0" w:space="0" w:color="auto"/>
        <w:right w:val="none" w:sz="0" w:space="0" w:color="auto"/>
      </w:divBdr>
    </w:div>
    <w:div w:id="104347084">
      <w:bodyDiv w:val="1"/>
      <w:marLeft w:val="0"/>
      <w:marRight w:val="0"/>
      <w:marTop w:val="0"/>
      <w:marBottom w:val="0"/>
      <w:divBdr>
        <w:top w:val="none" w:sz="0" w:space="0" w:color="auto"/>
        <w:left w:val="none" w:sz="0" w:space="0" w:color="auto"/>
        <w:bottom w:val="none" w:sz="0" w:space="0" w:color="auto"/>
        <w:right w:val="none" w:sz="0" w:space="0" w:color="auto"/>
      </w:divBdr>
    </w:div>
    <w:div w:id="111480067">
      <w:bodyDiv w:val="1"/>
      <w:marLeft w:val="0"/>
      <w:marRight w:val="0"/>
      <w:marTop w:val="0"/>
      <w:marBottom w:val="0"/>
      <w:divBdr>
        <w:top w:val="none" w:sz="0" w:space="0" w:color="auto"/>
        <w:left w:val="none" w:sz="0" w:space="0" w:color="auto"/>
        <w:bottom w:val="none" w:sz="0" w:space="0" w:color="auto"/>
        <w:right w:val="none" w:sz="0" w:space="0" w:color="auto"/>
      </w:divBdr>
    </w:div>
    <w:div w:id="119420703">
      <w:bodyDiv w:val="1"/>
      <w:marLeft w:val="0"/>
      <w:marRight w:val="0"/>
      <w:marTop w:val="0"/>
      <w:marBottom w:val="0"/>
      <w:divBdr>
        <w:top w:val="none" w:sz="0" w:space="0" w:color="auto"/>
        <w:left w:val="none" w:sz="0" w:space="0" w:color="auto"/>
        <w:bottom w:val="none" w:sz="0" w:space="0" w:color="auto"/>
        <w:right w:val="none" w:sz="0" w:space="0" w:color="auto"/>
      </w:divBdr>
    </w:div>
    <w:div w:id="131142606">
      <w:bodyDiv w:val="1"/>
      <w:marLeft w:val="0"/>
      <w:marRight w:val="0"/>
      <w:marTop w:val="0"/>
      <w:marBottom w:val="0"/>
      <w:divBdr>
        <w:top w:val="none" w:sz="0" w:space="0" w:color="auto"/>
        <w:left w:val="none" w:sz="0" w:space="0" w:color="auto"/>
        <w:bottom w:val="none" w:sz="0" w:space="0" w:color="auto"/>
        <w:right w:val="none" w:sz="0" w:space="0" w:color="auto"/>
      </w:divBdr>
    </w:div>
    <w:div w:id="150370906">
      <w:bodyDiv w:val="1"/>
      <w:marLeft w:val="0"/>
      <w:marRight w:val="0"/>
      <w:marTop w:val="0"/>
      <w:marBottom w:val="0"/>
      <w:divBdr>
        <w:top w:val="none" w:sz="0" w:space="0" w:color="auto"/>
        <w:left w:val="none" w:sz="0" w:space="0" w:color="auto"/>
        <w:bottom w:val="none" w:sz="0" w:space="0" w:color="auto"/>
        <w:right w:val="none" w:sz="0" w:space="0" w:color="auto"/>
      </w:divBdr>
    </w:div>
    <w:div w:id="159123319">
      <w:bodyDiv w:val="1"/>
      <w:marLeft w:val="0"/>
      <w:marRight w:val="0"/>
      <w:marTop w:val="0"/>
      <w:marBottom w:val="0"/>
      <w:divBdr>
        <w:top w:val="none" w:sz="0" w:space="0" w:color="auto"/>
        <w:left w:val="none" w:sz="0" w:space="0" w:color="auto"/>
        <w:bottom w:val="none" w:sz="0" w:space="0" w:color="auto"/>
        <w:right w:val="none" w:sz="0" w:space="0" w:color="auto"/>
      </w:divBdr>
    </w:div>
    <w:div w:id="176773059">
      <w:bodyDiv w:val="1"/>
      <w:marLeft w:val="0"/>
      <w:marRight w:val="0"/>
      <w:marTop w:val="0"/>
      <w:marBottom w:val="0"/>
      <w:divBdr>
        <w:top w:val="none" w:sz="0" w:space="0" w:color="auto"/>
        <w:left w:val="none" w:sz="0" w:space="0" w:color="auto"/>
        <w:bottom w:val="none" w:sz="0" w:space="0" w:color="auto"/>
        <w:right w:val="none" w:sz="0" w:space="0" w:color="auto"/>
      </w:divBdr>
    </w:div>
    <w:div w:id="198510895">
      <w:bodyDiv w:val="1"/>
      <w:marLeft w:val="0"/>
      <w:marRight w:val="0"/>
      <w:marTop w:val="0"/>
      <w:marBottom w:val="0"/>
      <w:divBdr>
        <w:top w:val="none" w:sz="0" w:space="0" w:color="auto"/>
        <w:left w:val="none" w:sz="0" w:space="0" w:color="auto"/>
        <w:bottom w:val="none" w:sz="0" w:space="0" w:color="auto"/>
        <w:right w:val="none" w:sz="0" w:space="0" w:color="auto"/>
      </w:divBdr>
    </w:div>
    <w:div w:id="209269428">
      <w:bodyDiv w:val="1"/>
      <w:marLeft w:val="0"/>
      <w:marRight w:val="0"/>
      <w:marTop w:val="0"/>
      <w:marBottom w:val="0"/>
      <w:divBdr>
        <w:top w:val="none" w:sz="0" w:space="0" w:color="auto"/>
        <w:left w:val="none" w:sz="0" w:space="0" w:color="auto"/>
        <w:bottom w:val="none" w:sz="0" w:space="0" w:color="auto"/>
        <w:right w:val="none" w:sz="0" w:space="0" w:color="auto"/>
      </w:divBdr>
    </w:div>
    <w:div w:id="228880646">
      <w:bodyDiv w:val="1"/>
      <w:marLeft w:val="0"/>
      <w:marRight w:val="0"/>
      <w:marTop w:val="0"/>
      <w:marBottom w:val="0"/>
      <w:divBdr>
        <w:top w:val="none" w:sz="0" w:space="0" w:color="auto"/>
        <w:left w:val="none" w:sz="0" w:space="0" w:color="auto"/>
        <w:bottom w:val="none" w:sz="0" w:space="0" w:color="auto"/>
        <w:right w:val="none" w:sz="0" w:space="0" w:color="auto"/>
      </w:divBdr>
    </w:div>
    <w:div w:id="244609189">
      <w:bodyDiv w:val="1"/>
      <w:marLeft w:val="0"/>
      <w:marRight w:val="0"/>
      <w:marTop w:val="0"/>
      <w:marBottom w:val="0"/>
      <w:divBdr>
        <w:top w:val="none" w:sz="0" w:space="0" w:color="auto"/>
        <w:left w:val="none" w:sz="0" w:space="0" w:color="auto"/>
        <w:bottom w:val="none" w:sz="0" w:space="0" w:color="auto"/>
        <w:right w:val="none" w:sz="0" w:space="0" w:color="auto"/>
      </w:divBdr>
    </w:div>
    <w:div w:id="249972980">
      <w:bodyDiv w:val="1"/>
      <w:marLeft w:val="0"/>
      <w:marRight w:val="0"/>
      <w:marTop w:val="0"/>
      <w:marBottom w:val="0"/>
      <w:divBdr>
        <w:top w:val="none" w:sz="0" w:space="0" w:color="auto"/>
        <w:left w:val="none" w:sz="0" w:space="0" w:color="auto"/>
        <w:bottom w:val="none" w:sz="0" w:space="0" w:color="auto"/>
        <w:right w:val="none" w:sz="0" w:space="0" w:color="auto"/>
      </w:divBdr>
    </w:div>
    <w:div w:id="251088690">
      <w:bodyDiv w:val="1"/>
      <w:marLeft w:val="0"/>
      <w:marRight w:val="0"/>
      <w:marTop w:val="0"/>
      <w:marBottom w:val="0"/>
      <w:divBdr>
        <w:top w:val="none" w:sz="0" w:space="0" w:color="auto"/>
        <w:left w:val="none" w:sz="0" w:space="0" w:color="auto"/>
        <w:bottom w:val="none" w:sz="0" w:space="0" w:color="auto"/>
        <w:right w:val="none" w:sz="0" w:space="0" w:color="auto"/>
      </w:divBdr>
    </w:div>
    <w:div w:id="269363961">
      <w:bodyDiv w:val="1"/>
      <w:marLeft w:val="0"/>
      <w:marRight w:val="0"/>
      <w:marTop w:val="0"/>
      <w:marBottom w:val="0"/>
      <w:divBdr>
        <w:top w:val="none" w:sz="0" w:space="0" w:color="auto"/>
        <w:left w:val="none" w:sz="0" w:space="0" w:color="auto"/>
        <w:bottom w:val="none" w:sz="0" w:space="0" w:color="auto"/>
        <w:right w:val="none" w:sz="0" w:space="0" w:color="auto"/>
      </w:divBdr>
    </w:div>
    <w:div w:id="301544721">
      <w:bodyDiv w:val="1"/>
      <w:marLeft w:val="0"/>
      <w:marRight w:val="0"/>
      <w:marTop w:val="0"/>
      <w:marBottom w:val="0"/>
      <w:divBdr>
        <w:top w:val="none" w:sz="0" w:space="0" w:color="auto"/>
        <w:left w:val="none" w:sz="0" w:space="0" w:color="auto"/>
        <w:bottom w:val="none" w:sz="0" w:space="0" w:color="auto"/>
        <w:right w:val="none" w:sz="0" w:space="0" w:color="auto"/>
      </w:divBdr>
    </w:div>
    <w:div w:id="316768145">
      <w:bodyDiv w:val="1"/>
      <w:marLeft w:val="0"/>
      <w:marRight w:val="0"/>
      <w:marTop w:val="0"/>
      <w:marBottom w:val="0"/>
      <w:divBdr>
        <w:top w:val="none" w:sz="0" w:space="0" w:color="auto"/>
        <w:left w:val="none" w:sz="0" w:space="0" w:color="auto"/>
        <w:bottom w:val="none" w:sz="0" w:space="0" w:color="auto"/>
        <w:right w:val="none" w:sz="0" w:space="0" w:color="auto"/>
      </w:divBdr>
    </w:div>
    <w:div w:id="328336422">
      <w:bodyDiv w:val="1"/>
      <w:marLeft w:val="0"/>
      <w:marRight w:val="0"/>
      <w:marTop w:val="0"/>
      <w:marBottom w:val="0"/>
      <w:divBdr>
        <w:top w:val="none" w:sz="0" w:space="0" w:color="auto"/>
        <w:left w:val="none" w:sz="0" w:space="0" w:color="auto"/>
        <w:bottom w:val="none" w:sz="0" w:space="0" w:color="auto"/>
        <w:right w:val="none" w:sz="0" w:space="0" w:color="auto"/>
      </w:divBdr>
    </w:div>
    <w:div w:id="335378999">
      <w:bodyDiv w:val="1"/>
      <w:marLeft w:val="0"/>
      <w:marRight w:val="0"/>
      <w:marTop w:val="0"/>
      <w:marBottom w:val="0"/>
      <w:divBdr>
        <w:top w:val="none" w:sz="0" w:space="0" w:color="auto"/>
        <w:left w:val="none" w:sz="0" w:space="0" w:color="auto"/>
        <w:bottom w:val="none" w:sz="0" w:space="0" w:color="auto"/>
        <w:right w:val="none" w:sz="0" w:space="0" w:color="auto"/>
      </w:divBdr>
    </w:div>
    <w:div w:id="357004531">
      <w:bodyDiv w:val="1"/>
      <w:marLeft w:val="0"/>
      <w:marRight w:val="0"/>
      <w:marTop w:val="0"/>
      <w:marBottom w:val="0"/>
      <w:divBdr>
        <w:top w:val="none" w:sz="0" w:space="0" w:color="auto"/>
        <w:left w:val="none" w:sz="0" w:space="0" w:color="auto"/>
        <w:bottom w:val="none" w:sz="0" w:space="0" w:color="auto"/>
        <w:right w:val="none" w:sz="0" w:space="0" w:color="auto"/>
      </w:divBdr>
    </w:div>
    <w:div w:id="360782975">
      <w:bodyDiv w:val="1"/>
      <w:marLeft w:val="0"/>
      <w:marRight w:val="0"/>
      <w:marTop w:val="0"/>
      <w:marBottom w:val="0"/>
      <w:divBdr>
        <w:top w:val="none" w:sz="0" w:space="0" w:color="auto"/>
        <w:left w:val="none" w:sz="0" w:space="0" w:color="auto"/>
        <w:bottom w:val="none" w:sz="0" w:space="0" w:color="auto"/>
        <w:right w:val="none" w:sz="0" w:space="0" w:color="auto"/>
      </w:divBdr>
    </w:div>
    <w:div w:id="415134056">
      <w:bodyDiv w:val="1"/>
      <w:marLeft w:val="0"/>
      <w:marRight w:val="0"/>
      <w:marTop w:val="0"/>
      <w:marBottom w:val="0"/>
      <w:divBdr>
        <w:top w:val="none" w:sz="0" w:space="0" w:color="auto"/>
        <w:left w:val="none" w:sz="0" w:space="0" w:color="auto"/>
        <w:bottom w:val="none" w:sz="0" w:space="0" w:color="auto"/>
        <w:right w:val="none" w:sz="0" w:space="0" w:color="auto"/>
      </w:divBdr>
    </w:div>
    <w:div w:id="420565972">
      <w:bodyDiv w:val="1"/>
      <w:marLeft w:val="0"/>
      <w:marRight w:val="0"/>
      <w:marTop w:val="0"/>
      <w:marBottom w:val="0"/>
      <w:divBdr>
        <w:top w:val="none" w:sz="0" w:space="0" w:color="auto"/>
        <w:left w:val="none" w:sz="0" w:space="0" w:color="auto"/>
        <w:bottom w:val="none" w:sz="0" w:space="0" w:color="auto"/>
        <w:right w:val="none" w:sz="0" w:space="0" w:color="auto"/>
      </w:divBdr>
    </w:div>
    <w:div w:id="433281894">
      <w:bodyDiv w:val="1"/>
      <w:marLeft w:val="0"/>
      <w:marRight w:val="0"/>
      <w:marTop w:val="0"/>
      <w:marBottom w:val="0"/>
      <w:divBdr>
        <w:top w:val="none" w:sz="0" w:space="0" w:color="auto"/>
        <w:left w:val="none" w:sz="0" w:space="0" w:color="auto"/>
        <w:bottom w:val="none" w:sz="0" w:space="0" w:color="auto"/>
        <w:right w:val="none" w:sz="0" w:space="0" w:color="auto"/>
      </w:divBdr>
    </w:div>
    <w:div w:id="504981598">
      <w:bodyDiv w:val="1"/>
      <w:marLeft w:val="0"/>
      <w:marRight w:val="0"/>
      <w:marTop w:val="0"/>
      <w:marBottom w:val="0"/>
      <w:divBdr>
        <w:top w:val="none" w:sz="0" w:space="0" w:color="auto"/>
        <w:left w:val="none" w:sz="0" w:space="0" w:color="auto"/>
        <w:bottom w:val="none" w:sz="0" w:space="0" w:color="auto"/>
        <w:right w:val="none" w:sz="0" w:space="0" w:color="auto"/>
      </w:divBdr>
    </w:div>
    <w:div w:id="506746510">
      <w:bodyDiv w:val="1"/>
      <w:marLeft w:val="0"/>
      <w:marRight w:val="0"/>
      <w:marTop w:val="0"/>
      <w:marBottom w:val="0"/>
      <w:divBdr>
        <w:top w:val="none" w:sz="0" w:space="0" w:color="auto"/>
        <w:left w:val="none" w:sz="0" w:space="0" w:color="auto"/>
        <w:bottom w:val="none" w:sz="0" w:space="0" w:color="auto"/>
        <w:right w:val="none" w:sz="0" w:space="0" w:color="auto"/>
      </w:divBdr>
    </w:div>
    <w:div w:id="523788623">
      <w:bodyDiv w:val="1"/>
      <w:marLeft w:val="0"/>
      <w:marRight w:val="0"/>
      <w:marTop w:val="0"/>
      <w:marBottom w:val="0"/>
      <w:divBdr>
        <w:top w:val="none" w:sz="0" w:space="0" w:color="auto"/>
        <w:left w:val="none" w:sz="0" w:space="0" w:color="auto"/>
        <w:bottom w:val="none" w:sz="0" w:space="0" w:color="auto"/>
        <w:right w:val="none" w:sz="0" w:space="0" w:color="auto"/>
      </w:divBdr>
    </w:div>
    <w:div w:id="526868154">
      <w:bodyDiv w:val="1"/>
      <w:marLeft w:val="0"/>
      <w:marRight w:val="0"/>
      <w:marTop w:val="0"/>
      <w:marBottom w:val="0"/>
      <w:divBdr>
        <w:top w:val="none" w:sz="0" w:space="0" w:color="auto"/>
        <w:left w:val="none" w:sz="0" w:space="0" w:color="auto"/>
        <w:bottom w:val="none" w:sz="0" w:space="0" w:color="auto"/>
        <w:right w:val="none" w:sz="0" w:space="0" w:color="auto"/>
      </w:divBdr>
    </w:div>
    <w:div w:id="545144003">
      <w:bodyDiv w:val="1"/>
      <w:marLeft w:val="0"/>
      <w:marRight w:val="0"/>
      <w:marTop w:val="0"/>
      <w:marBottom w:val="0"/>
      <w:divBdr>
        <w:top w:val="none" w:sz="0" w:space="0" w:color="auto"/>
        <w:left w:val="none" w:sz="0" w:space="0" w:color="auto"/>
        <w:bottom w:val="none" w:sz="0" w:space="0" w:color="auto"/>
        <w:right w:val="none" w:sz="0" w:space="0" w:color="auto"/>
      </w:divBdr>
    </w:div>
    <w:div w:id="567500529">
      <w:bodyDiv w:val="1"/>
      <w:marLeft w:val="0"/>
      <w:marRight w:val="0"/>
      <w:marTop w:val="0"/>
      <w:marBottom w:val="0"/>
      <w:divBdr>
        <w:top w:val="none" w:sz="0" w:space="0" w:color="auto"/>
        <w:left w:val="none" w:sz="0" w:space="0" w:color="auto"/>
        <w:bottom w:val="none" w:sz="0" w:space="0" w:color="auto"/>
        <w:right w:val="none" w:sz="0" w:space="0" w:color="auto"/>
      </w:divBdr>
    </w:div>
    <w:div w:id="576594141">
      <w:bodyDiv w:val="1"/>
      <w:marLeft w:val="0"/>
      <w:marRight w:val="0"/>
      <w:marTop w:val="0"/>
      <w:marBottom w:val="0"/>
      <w:divBdr>
        <w:top w:val="none" w:sz="0" w:space="0" w:color="auto"/>
        <w:left w:val="none" w:sz="0" w:space="0" w:color="auto"/>
        <w:bottom w:val="none" w:sz="0" w:space="0" w:color="auto"/>
        <w:right w:val="none" w:sz="0" w:space="0" w:color="auto"/>
      </w:divBdr>
    </w:div>
    <w:div w:id="602764388">
      <w:bodyDiv w:val="1"/>
      <w:marLeft w:val="0"/>
      <w:marRight w:val="0"/>
      <w:marTop w:val="0"/>
      <w:marBottom w:val="0"/>
      <w:divBdr>
        <w:top w:val="none" w:sz="0" w:space="0" w:color="auto"/>
        <w:left w:val="none" w:sz="0" w:space="0" w:color="auto"/>
        <w:bottom w:val="none" w:sz="0" w:space="0" w:color="auto"/>
        <w:right w:val="none" w:sz="0" w:space="0" w:color="auto"/>
      </w:divBdr>
    </w:div>
    <w:div w:id="622269186">
      <w:bodyDiv w:val="1"/>
      <w:marLeft w:val="0"/>
      <w:marRight w:val="0"/>
      <w:marTop w:val="0"/>
      <w:marBottom w:val="0"/>
      <w:divBdr>
        <w:top w:val="none" w:sz="0" w:space="0" w:color="auto"/>
        <w:left w:val="none" w:sz="0" w:space="0" w:color="auto"/>
        <w:bottom w:val="none" w:sz="0" w:space="0" w:color="auto"/>
        <w:right w:val="none" w:sz="0" w:space="0" w:color="auto"/>
      </w:divBdr>
    </w:div>
    <w:div w:id="654576994">
      <w:bodyDiv w:val="1"/>
      <w:marLeft w:val="0"/>
      <w:marRight w:val="0"/>
      <w:marTop w:val="0"/>
      <w:marBottom w:val="0"/>
      <w:divBdr>
        <w:top w:val="none" w:sz="0" w:space="0" w:color="auto"/>
        <w:left w:val="none" w:sz="0" w:space="0" w:color="auto"/>
        <w:bottom w:val="none" w:sz="0" w:space="0" w:color="auto"/>
        <w:right w:val="none" w:sz="0" w:space="0" w:color="auto"/>
      </w:divBdr>
    </w:div>
    <w:div w:id="665130621">
      <w:bodyDiv w:val="1"/>
      <w:marLeft w:val="0"/>
      <w:marRight w:val="0"/>
      <w:marTop w:val="0"/>
      <w:marBottom w:val="0"/>
      <w:divBdr>
        <w:top w:val="none" w:sz="0" w:space="0" w:color="auto"/>
        <w:left w:val="none" w:sz="0" w:space="0" w:color="auto"/>
        <w:bottom w:val="none" w:sz="0" w:space="0" w:color="auto"/>
        <w:right w:val="none" w:sz="0" w:space="0" w:color="auto"/>
      </w:divBdr>
    </w:div>
    <w:div w:id="681275959">
      <w:bodyDiv w:val="1"/>
      <w:marLeft w:val="0"/>
      <w:marRight w:val="0"/>
      <w:marTop w:val="0"/>
      <w:marBottom w:val="0"/>
      <w:divBdr>
        <w:top w:val="none" w:sz="0" w:space="0" w:color="auto"/>
        <w:left w:val="none" w:sz="0" w:space="0" w:color="auto"/>
        <w:bottom w:val="none" w:sz="0" w:space="0" w:color="auto"/>
        <w:right w:val="none" w:sz="0" w:space="0" w:color="auto"/>
      </w:divBdr>
    </w:div>
    <w:div w:id="687365748">
      <w:bodyDiv w:val="1"/>
      <w:marLeft w:val="0"/>
      <w:marRight w:val="0"/>
      <w:marTop w:val="0"/>
      <w:marBottom w:val="0"/>
      <w:divBdr>
        <w:top w:val="none" w:sz="0" w:space="0" w:color="auto"/>
        <w:left w:val="none" w:sz="0" w:space="0" w:color="auto"/>
        <w:bottom w:val="none" w:sz="0" w:space="0" w:color="auto"/>
        <w:right w:val="none" w:sz="0" w:space="0" w:color="auto"/>
      </w:divBdr>
    </w:div>
    <w:div w:id="697514519">
      <w:bodyDiv w:val="1"/>
      <w:marLeft w:val="0"/>
      <w:marRight w:val="0"/>
      <w:marTop w:val="0"/>
      <w:marBottom w:val="0"/>
      <w:divBdr>
        <w:top w:val="none" w:sz="0" w:space="0" w:color="auto"/>
        <w:left w:val="none" w:sz="0" w:space="0" w:color="auto"/>
        <w:bottom w:val="none" w:sz="0" w:space="0" w:color="auto"/>
        <w:right w:val="none" w:sz="0" w:space="0" w:color="auto"/>
      </w:divBdr>
    </w:div>
    <w:div w:id="709232192">
      <w:bodyDiv w:val="1"/>
      <w:marLeft w:val="0"/>
      <w:marRight w:val="0"/>
      <w:marTop w:val="0"/>
      <w:marBottom w:val="0"/>
      <w:divBdr>
        <w:top w:val="none" w:sz="0" w:space="0" w:color="auto"/>
        <w:left w:val="none" w:sz="0" w:space="0" w:color="auto"/>
        <w:bottom w:val="none" w:sz="0" w:space="0" w:color="auto"/>
        <w:right w:val="none" w:sz="0" w:space="0" w:color="auto"/>
      </w:divBdr>
    </w:div>
    <w:div w:id="717627891">
      <w:bodyDiv w:val="1"/>
      <w:marLeft w:val="0"/>
      <w:marRight w:val="0"/>
      <w:marTop w:val="0"/>
      <w:marBottom w:val="0"/>
      <w:divBdr>
        <w:top w:val="none" w:sz="0" w:space="0" w:color="auto"/>
        <w:left w:val="none" w:sz="0" w:space="0" w:color="auto"/>
        <w:bottom w:val="none" w:sz="0" w:space="0" w:color="auto"/>
        <w:right w:val="none" w:sz="0" w:space="0" w:color="auto"/>
      </w:divBdr>
    </w:div>
    <w:div w:id="721054852">
      <w:bodyDiv w:val="1"/>
      <w:marLeft w:val="0"/>
      <w:marRight w:val="0"/>
      <w:marTop w:val="0"/>
      <w:marBottom w:val="0"/>
      <w:divBdr>
        <w:top w:val="none" w:sz="0" w:space="0" w:color="auto"/>
        <w:left w:val="none" w:sz="0" w:space="0" w:color="auto"/>
        <w:bottom w:val="none" w:sz="0" w:space="0" w:color="auto"/>
        <w:right w:val="none" w:sz="0" w:space="0" w:color="auto"/>
      </w:divBdr>
    </w:div>
    <w:div w:id="726270535">
      <w:bodyDiv w:val="1"/>
      <w:marLeft w:val="0"/>
      <w:marRight w:val="0"/>
      <w:marTop w:val="0"/>
      <w:marBottom w:val="0"/>
      <w:divBdr>
        <w:top w:val="none" w:sz="0" w:space="0" w:color="auto"/>
        <w:left w:val="none" w:sz="0" w:space="0" w:color="auto"/>
        <w:bottom w:val="none" w:sz="0" w:space="0" w:color="auto"/>
        <w:right w:val="none" w:sz="0" w:space="0" w:color="auto"/>
      </w:divBdr>
    </w:div>
    <w:div w:id="739064645">
      <w:bodyDiv w:val="1"/>
      <w:marLeft w:val="0"/>
      <w:marRight w:val="0"/>
      <w:marTop w:val="0"/>
      <w:marBottom w:val="0"/>
      <w:divBdr>
        <w:top w:val="none" w:sz="0" w:space="0" w:color="auto"/>
        <w:left w:val="none" w:sz="0" w:space="0" w:color="auto"/>
        <w:bottom w:val="none" w:sz="0" w:space="0" w:color="auto"/>
        <w:right w:val="none" w:sz="0" w:space="0" w:color="auto"/>
      </w:divBdr>
    </w:div>
    <w:div w:id="756487901">
      <w:bodyDiv w:val="1"/>
      <w:marLeft w:val="0"/>
      <w:marRight w:val="0"/>
      <w:marTop w:val="0"/>
      <w:marBottom w:val="0"/>
      <w:divBdr>
        <w:top w:val="none" w:sz="0" w:space="0" w:color="auto"/>
        <w:left w:val="none" w:sz="0" w:space="0" w:color="auto"/>
        <w:bottom w:val="none" w:sz="0" w:space="0" w:color="auto"/>
        <w:right w:val="none" w:sz="0" w:space="0" w:color="auto"/>
      </w:divBdr>
    </w:div>
    <w:div w:id="803084901">
      <w:bodyDiv w:val="1"/>
      <w:marLeft w:val="0"/>
      <w:marRight w:val="0"/>
      <w:marTop w:val="0"/>
      <w:marBottom w:val="0"/>
      <w:divBdr>
        <w:top w:val="none" w:sz="0" w:space="0" w:color="auto"/>
        <w:left w:val="none" w:sz="0" w:space="0" w:color="auto"/>
        <w:bottom w:val="none" w:sz="0" w:space="0" w:color="auto"/>
        <w:right w:val="none" w:sz="0" w:space="0" w:color="auto"/>
      </w:divBdr>
    </w:div>
    <w:div w:id="807943719">
      <w:bodyDiv w:val="1"/>
      <w:marLeft w:val="0"/>
      <w:marRight w:val="0"/>
      <w:marTop w:val="0"/>
      <w:marBottom w:val="0"/>
      <w:divBdr>
        <w:top w:val="none" w:sz="0" w:space="0" w:color="auto"/>
        <w:left w:val="none" w:sz="0" w:space="0" w:color="auto"/>
        <w:bottom w:val="none" w:sz="0" w:space="0" w:color="auto"/>
        <w:right w:val="none" w:sz="0" w:space="0" w:color="auto"/>
      </w:divBdr>
    </w:div>
    <w:div w:id="818301721">
      <w:bodyDiv w:val="1"/>
      <w:marLeft w:val="0"/>
      <w:marRight w:val="0"/>
      <w:marTop w:val="0"/>
      <w:marBottom w:val="0"/>
      <w:divBdr>
        <w:top w:val="none" w:sz="0" w:space="0" w:color="auto"/>
        <w:left w:val="none" w:sz="0" w:space="0" w:color="auto"/>
        <w:bottom w:val="none" w:sz="0" w:space="0" w:color="auto"/>
        <w:right w:val="none" w:sz="0" w:space="0" w:color="auto"/>
      </w:divBdr>
    </w:div>
    <w:div w:id="829642672">
      <w:bodyDiv w:val="1"/>
      <w:marLeft w:val="0"/>
      <w:marRight w:val="0"/>
      <w:marTop w:val="0"/>
      <w:marBottom w:val="0"/>
      <w:divBdr>
        <w:top w:val="none" w:sz="0" w:space="0" w:color="auto"/>
        <w:left w:val="none" w:sz="0" w:space="0" w:color="auto"/>
        <w:bottom w:val="none" w:sz="0" w:space="0" w:color="auto"/>
        <w:right w:val="none" w:sz="0" w:space="0" w:color="auto"/>
      </w:divBdr>
    </w:div>
    <w:div w:id="835996654">
      <w:bodyDiv w:val="1"/>
      <w:marLeft w:val="0"/>
      <w:marRight w:val="0"/>
      <w:marTop w:val="0"/>
      <w:marBottom w:val="0"/>
      <w:divBdr>
        <w:top w:val="none" w:sz="0" w:space="0" w:color="auto"/>
        <w:left w:val="none" w:sz="0" w:space="0" w:color="auto"/>
        <w:bottom w:val="none" w:sz="0" w:space="0" w:color="auto"/>
        <w:right w:val="none" w:sz="0" w:space="0" w:color="auto"/>
      </w:divBdr>
    </w:div>
    <w:div w:id="857694153">
      <w:bodyDiv w:val="1"/>
      <w:marLeft w:val="0"/>
      <w:marRight w:val="0"/>
      <w:marTop w:val="0"/>
      <w:marBottom w:val="0"/>
      <w:divBdr>
        <w:top w:val="none" w:sz="0" w:space="0" w:color="auto"/>
        <w:left w:val="none" w:sz="0" w:space="0" w:color="auto"/>
        <w:bottom w:val="none" w:sz="0" w:space="0" w:color="auto"/>
        <w:right w:val="none" w:sz="0" w:space="0" w:color="auto"/>
      </w:divBdr>
    </w:div>
    <w:div w:id="903223095">
      <w:bodyDiv w:val="1"/>
      <w:marLeft w:val="0"/>
      <w:marRight w:val="0"/>
      <w:marTop w:val="0"/>
      <w:marBottom w:val="0"/>
      <w:divBdr>
        <w:top w:val="none" w:sz="0" w:space="0" w:color="auto"/>
        <w:left w:val="none" w:sz="0" w:space="0" w:color="auto"/>
        <w:bottom w:val="none" w:sz="0" w:space="0" w:color="auto"/>
        <w:right w:val="none" w:sz="0" w:space="0" w:color="auto"/>
      </w:divBdr>
    </w:div>
    <w:div w:id="914047567">
      <w:bodyDiv w:val="1"/>
      <w:marLeft w:val="0"/>
      <w:marRight w:val="0"/>
      <w:marTop w:val="0"/>
      <w:marBottom w:val="0"/>
      <w:divBdr>
        <w:top w:val="none" w:sz="0" w:space="0" w:color="auto"/>
        <w:left w:val="none" w:sz="0" w:space="0" w:color="auto"/>
        <w:bottom w:val="none" w:sz="0" w:space="0" w:color="auto"/>
        <w:right w:val="none" w:sz="0" w:space="0" w:color="auto"/>
      </w:divBdr>
    </w:div>
    <w:div w:id="920220104">
      <w:bodyDiv w:val="1"/>
      <w:marLeft w:val="0"/>
      <w:marRight w:val="0"/>
      <w:marTop w:val="0"/>
      <w:marBottom w:val="0"/>
      <w:divBdr>
        <w:top w:val="none" w:sz="0" w:space="0" w:color="auto"/>
        <w:left w:val="none" w:sz="0" w:space="0" w:color="auto"/>
        <w:bottom w:val="none" w:sz="0" w:space="0" w:color="auto"/>
        <w:right w:val="none" w:sz="0" w:space="0" w:color="auto"/>
      </w:divBdr>
    </w:div>
    <w:div w:id="949362569">
      <w:bodyDiv w:val="1"/>
      <w:marLeft w:val="0"/>
      <w:marRight w:val="0"/>
      <w:marTop w:val="0"/>
      <w:marBottom w:val="0"/>
      <w:divBdr>
        <w:top w:val="none" w:sz="0" w:space="0" w:color="auto"/>
        <w:left w:val="none" w:sz="0" w:space="0" w:color="auto"/>
        <w:bottom w:val="none" w:sz="0" w:space="0" w:color="auto"/>
        <w:right w:val="none" w:sz="0" w:space="0" w:color="auto"/>
      </w:divBdr>
    </w:div>
    <w:div w:id="949434055">
      <w:bodyDiv w:val="1"/>
      <w:marLeft w:val="0"/>
      <w:marRight w:val="0"/>
      <w:marTop w:val="0"/>
      <w:marBottom w:val="0"/>
      <w:divBdr>
        <w:top w:val="none" w:sz="0" w:space="0" w:color="auto"/>
        <w:left w:val="none" w:sz="0" w:space="0" w:color="auto"/>
        <w:bottom w:val="none" w:sz="0" w:space="0" w:color="auto"/>
        <w:right w:val="none" w:sz="0" w:space="0" w:color="auto"/>
      </w:divBdr>
    </w:div>
    <w:div w:id="960188513">
      <w:bodyDiv w:val="1"/>
      <w:marLeft w:val="0"/>
      <w:marRight w:val="0"/>
      <w:marTop w:val="0"/>
      <w:marBottom w:val="0"/>
      <w:divBdr>
        <w:top w:val="none" w:sz="0" w:space="0" w:color="auto"/>
        <w:left w:val="none" w:sz="0" w:space="0" w:color="auto"/>
        <w:bottom w:val="none" w:sz="0" w:space="0" w:color="auto"/>
        <w:right w:val="none" w:sz="0" w:space="0" w:color="auto"/>
      </w:divBdr>
    </w:div>
    <w:div w:id="1000543192">
      <w:bodyDiv w:val="1"/>
      <w:marLeft w:val="0"/>
      <w:marRight w:val="0"/>
      <w:marTop w:val="0"/>
      <w:marBottom w:val="0"/>
      <w:divBdr>
        <w:top w:val="none" w:sz="0" w:space="0" w:color="auto"/>
        <w:left w:val="none" w:sz="0" w:space="0" w:color="auto"/>
        <w:bottom w:val="none" w:sz="0" w:space="0" w:color="auto"/>
        <w:right w:val="none" w:sz="0" w:space="0" w:color="auto"/>
      </w:divBdr>
    </w:div>
    <w:div w:id="1011176834">
      <w:bodyDiv w:val="1"/>
      <w:marLeft w:val="0"/>
      <w:marRight w:val="0"/>
      <w:marTop w:val="0"/>
      <w:marBottom w:val="0"/>
      <w:divBdr>
        <w:top w:val="none" w:sz="0" w:space="0" w:color="auto"/>
        <w:left w:val="none" w:sz="0" w:space="0" w:color="auto"/>
        <w:bottom w:val="none" w:sz="0" w:space="0" w:color="auto"/>
        <w:right w:val="none" w:sz="0" w:space="0" w:color="auto"/>
      </w:divBdr>
    </w:div>
    <w:div w:id="1019549269">
      <w:bodyDiv w:val="1"/>
      <w:marLeft w:val="0"/>
      <w:marRight w:val="0"/>
      <w:marTop w:val="0"/>
      <w:marBottom w:val="0"/>
      <w:divBdr>
        <w:top w:val="none" w:sz="0" w:space="0" w:color="auto"/>
        <w:left w:val="none" w:sz="0" w:space="0" w:color="auto"/>
        <w:bottom w:val="none" w:sz="0" w:space="0" w:color="auto"/>
        <w:right w:val="none" w:sz="0" w:space="0" w:color="auto"/>
      </w:divBdr>
    </w:div>
    <w:div w:id="1039548919">
      <w:bodyDiv w:val="1"/>
      <w:marLeft w:val="0"/>
      <w:marRight w:val="0"/>
      <w:marTop w:val="0"/>
      <w:marBottom w:val="0"/>
      <w:divBdr>
        <w:top w:val="none" w:sz="0" w:space="0" w:color="auto"/>
        <w:left w:val="none" w:sz="0" w:space="0" w:color="auto"/>
        <w:bottom w:val="none" w:sz="0" w:space="0" w:color="auto"/>
        <w:right w:val="none" w:sz="0" w:space="0" w:color="auto"/>
      </w:divBdr>
    </w:div>
    <w:div w:id="1063484951">
      <w:bodyDiv w:val="1"/>
      <w:marLeft w:val="0"/>
      <w:marRight w:val="0"/>
      <w:marTop w:val="0"/>
      <w:marBottom w:val="0"/>
      <w:divBdr>
        <w:top w:val="none" w:sz="0" w:space="0" w:color="auto"/>
        <w:left w:val="none" w:sz="0" w:space="0" w:color="auto"/>
        <w:bottom w:val="none" w:sz="0" w:space="0" w:color="auto"/>
        <w:right w:val="none" w:sz="0" w:space="0" w:color="auto"/>
      </w:divBdr>
    </w:div>
    <w:div w:id="1073350748">
      <w:bodyDiv w:val="1"/>
      <w:marLeft w:val="0"/>
      <w:marRight w:val="0"/>
      <w:marTop w:val="0"/>
      <w:marBottom w:val="0"/>
      <w:divBdr>
        <w:top w:val="none" w:sz="0" w:space="0" w:color="auto"/>
        <w:left w:val="none" w:sz="0" w:space="0" w:color="auto"/>
        <w:bottom w:val="none" w:sz="0" w:space="0" w:color="auto"/>
        <w:right w:val="none" w:sz="0" w:space="0" w:color="auto"/>
      </w:divBdr>
    </w:div>
    <w:div w:id="1075667818">
      <w:bodyDiv w:val="1"/>
      <w:marLeft w:val="0"/>
      <w:marRight w:val="0"/>
      <w:marTop w:val="0"/>
      <w:marBottom w:val="0"/>
      <w:divBdr>
        <w:top w:val="none" w:sz="0" w:space="0" w:color="auto"/>
        <w:left w:val="none" w:sz="0" w:space="0" w:color="auto"/>
        <w:bottom w:val="none" w:sz="0" w:space="0" w:color="auto"/>
        <w:right w:val="none" w:sz="0" w:space="0" w:color="auto"/>
      </w:divBdr>
    </w:div>
    <w:div w:id="1128545425">
      <w:bodyDiv w:val="1"/>
      <w:marLeft w:val="0"/>
      <w:marRight w:val="0"/>
      <w:marTop w:val="0"/>
      <w:marBottom w:val="0"/>
      <w:divBdr>
        <w:top w:val="none" w:sz="0" w:space="0" w:color="auto"/>
        <w:left w:val="none" w:sz="0" w:space="0" w:color="auto"/>
        <w:bottom w:val="none" w:sz="0" w:space="0" w:color="auto"/>
        <w:right w:val="none" w:sz="0" w:space="0" w:color="auto"/>
      </w:divBdr>
    </w:div>
    <w:div w:id="1143736207">
      <w:bodyDiv w:val="1"/>
      <w:marLeft w:val="0"/>
      <w:marRight w:val="0"/>
      <w:marTop w:val="0"/>
      <w:marBottom w:val="0"/>
      <w:divBdr>
        <w:top w:val="none" w:sz="0" w:space="0" w:color="auto"/>
        <w:left w:val="none" w:sz="0" w:space="0" w:color="auto"/>
        <w:bottom w:val="none" w:sz="0" w:space="0" w:color="auto"/>
        <w:right w:val="none" w:sz="0" w:space="0" w:color="auto"/>
      </w:divBdr>
    </w:div>
    <w:div w:id="1187406687">
      <w:bodyDiv w:val="1"/>
      <w:marLeft w:val="0"/>
      <w:marRight w:val="0"/>
      <w:marTop w:val="0"/>
      <w:marBottom w:val="0"/>
      <w:divBdr>
        <w:top w:val="none" w:sz="0" w:space="0" w:color="auto"/>
        <w:left w:val="none" w:sz="0" w:space="0" w:color="auto"/>
        <w:bottom w:val="none" w:sz="0" w:space="0" w:color="auto"/>
        <w:right w:val="none" w:sz="0" w:space="0" w:color="auto"/>
      </w:divBdr>
    </w:div>
    <w:div w:id="1219363585">
      <w:bodyDiv w:val="1"/>
      <w:marLeft w:val="0"/>
      <w:marRight w:val="0"/>
      <w:marTop w:val="0"/>
      <w:marBottom w:val="0"/>
      <w:divBdr>
        <w:top w:val="none" w:sz="0" w:space="0" w:color="auto"/>
        <w:left w:val="none" w:sz="0" w:space="0" w:color="auto"/>
        <w:bottom w:val="none" w:sz="0" w:space="0" w:color="auto"/>
        <w:right w:val="none" w:sz="0" w:space="0" w:color="auto"/>
      </w:divBdr>
    </w:div>
    <w:div w:id="1246457973">
      <w:bodyDiv w:val="1"/>
      <w:marLeft w:val="0"/>
      <w:marRight w:val="0"/>
      <w:marTop w:val="0"/>
      <w:marBottom w:val="0"/>
      <w:divBdr>
        <w:top w:val="none" w:sz="0" w:space="0" w:color="auto"/>
        <w:left w:val="none" w:sz="0" w:space="0" w:color="auto"/>
        <w:bottom w:val="none" w:sz="0" w:space="0" w:color="auto"/>
        <w:right w:val="none" w:sz="0" w:space="0" w:color="auto"/>
      </w:divBdr>
    </w:div>
    <w:div w:id="1250307197">
      <w:bodyDiv w:val="1"/>
      <w:marLeft w:val="0"/>
      <w:marRight w:val="0"/>
      <w:marTop w:val="0"/>
      <w:marBottom w:val="0"/>
      <w:divBdr>
        <w:top w:val="none" w:sz="0" w:space="0" w:color="auto"/>
        <w:left w:val="none" w:sz="0" w:space="0" w:color="auto"/>
        <w:bottom w:val="none" w:sz="0" w:space="0" w:color="auto"/>
        <w:right w:val="none" w:sz="0" w:space="0" w:color="auto"/>
      </w:divBdr>
    </w:div>
    <w:div w:id="1260025876">
      <w:bodyDiv w:val="1"/>
      <w:marLeft w:val="0"/>
      <w:marRight w:val="0"/>
      <w:marTop w:val="0"/>
      <w:marBottom w:val="0"/>
      <w:divBdr>
        <w:top w:val="none" w:sz="0" w:space="0" w:color="auto"/>
        <w:left w:val="none" w:sz="0" w:space="0" w:color="auto"/>
        <w:bottom w:val="none" w:sz="0" w:space="0" w:color="auto"/>
        <w:right w:val="none" w:sz="0" w:space="0" w:color="auto"/>
      </w:divBdr>
    </w:div>
    <w:div w:id="1260606420">
      <w:bodyDiv w:val="1"/>
      <w:marLeft w:val="0"/>
      <w:marRight w:val="0"/>
      <w:marTop w:val="0"/>
      <w:marBottom w:val="0"/>
      <w:divBdr>
        <w:top w:val="none" w:sz="0" w:space="0" w:color="auto"/>
        <w:left w:val="none" w:sz="0" w:space="0" w:color="auto"/>
        <w:bottom w:val="none" w:sz="0" w:space="0" w:color="auto"/>
        <w:right w:val="none" w:sz="0" w:space="0" w:color="auto"/>
      </w:divBdr>
    </w:div>
    <w:div w:id="1262299761">
      <w:bodyDiv w:val="1"/>
      <w:marLeft w:val="0"/>
      <w:marRight w:val="0"/>
      <w:marTop w:val="0"/>
      <w:marBottom w:val="0"/>
      <w:divBdr>
        <w:top w:val="none" w:sz="0" w:space="0" w:color="auto"/>
        <w:left w:val="none" w:sz="0" w:space="0" w:color="auto"/>
        <w:bottom w:val="none" w:sz="0" w:space="0" w:color="auto"/>
        <w:right w:val="none" w:sz="0" w:space="0" w:color="auto"/>
      </w:divBdr>
    </w:div>
    <w:div w:id="1263612031">
      <w:bodyDiv w:val="1"/>
      <w:marLeft w:val="0"/>
      <w:marRight w:val="0"/>
      <w:marTop w:val="0"/>
      <w:marBottom w:val="0"/>
      <w:divBdr>
        <w:top w:val="none" w:sz="0" w:space="0" w:color="auto"/>
        <w:left w:val="none" w:sz="0" w:space="0" w:color="auto"/>
        <w:bottom w:val="none" w:sz="0" w:space="0" w:color="auto"/>
        <w:right w:val="none" w:sz="0" w:space="0" w:color="auto"/>
      </w:divBdr>
    </w:div>
    <w:div w:id="1290667690">
      <w:bodyDiv w:val="1"/>
      <w:marLeft w:val="0"/>
      <w:marRight w:val="0"/>
      <w:marTop w:val="0"/>
      <w:marBottom w:val="0"/>
      <w:divBdr>
        <w:top w:val="none" w:sz="0" w:space="0" w:color="auto"/>
        <w:left w:val="none" w:sz="0" w:space="0" w:color="auto"/>
        <w:bottom w:val="none" w:sz="0" w:space="0" w:color="auto"/>
        <w:right w:val="none" w:sz="0" w:space="0" w:color="auto"/>
      </w:divBdr>
    </w:div>
    <w:div w:id="1297956174">
      <w:bodyDiv w:val="1"/>
      <w:marLeft w:val="0"/>
      <w:marRight w:val="0"/>
      <w:marTop w:val="0"/>
      <w:marBottom w:val="0"/>
      <w:divBdr>
        <w:top w:val="none" w:sz="0" w:space="0" w:color="auto"/>
        <w:left w:val="none" w:sz="0" w:space="0" w:color="auto"/>
        <w:bottom w:val="none" w:sz="0" w:space="0" w:color="auto"/>
        <w:right w:val="none" w:sz="0" w:space="0" w:color="auto"/>
      </w:divBdr>
    </w:div>
    <w:div w:id="1331250369">
      <w:bodyDiv w:val="1"/>
      <w:marLeft w:val="0"/>
      <w:marRight w:val="0"/>
      <w:marTop w:val="0"/>
      <w:marBottom w:val="0"/>
      <w:divBdr>
        <w:top w:val="none" w:sz="0" w:space="0" w:color="auto"/>
        <w:left w:val="none" w:sz="0" w:space="0" w:color="auto"/>
        <w:bottom w:val="none" w:sz="0" w:space="0" w:color="auto"/>
        <w:right w:val="none" w:sz="0" w:space="0" w:color="auto"/>
      </w:divBdr>
    </w:div>
    <w:div w:id="1331789472">
      <w:bodyDiv w:val="1"/>
      <w:marLeft w:val="0"/>
      <w:marRight w:val="0"/>
      <w:marTop w:val="0"/>
      <w:marBottom w:val="0"/>
      <w:divBdr>
        <w:top w:val="none" w:sz="0" w:space="0" w:color="auto"/>
        <w:left w:val="none" w:sz="0" w:space="0" w:color="auto"/>
        <w:bottom w:val="none" w:sz="0" w:space="0" w:color="auto"/>
        <w:right w:val="none" w:sz="0" w:space="0" w:color="auto"/>
      </w:divBdr>
    </w:div>
    <w:div w:id="1361929495">
      <w:bodyDiv w:val="1"/>
      <w:marLeft w:val="0"/>
      <w:marRight w:val="0"/>
      <w:marTop w:val="0"/>
      <w:marBottom w:val="0"/>
      <w:divBdr>
        <w:top w:val="none" w:sz="0" w:space="0" w:color="auto"/>
        <w:left w:val="none" w:sz="0" w:space="0" w:color="auto"/>
        <w:bottom w:val="none" w:sz="0" w:space="0" w:color="auto"/>
        <w:right w:val="none" w:sz="0" w:space="0" w:color="auto"/>
      </w:divBdr>
    </w:div>
    <w:div w:id="1364819183">
      <w:bodyDiv w:val="1"/>
      <w:marLeft w:val="0"/>
      <w:marRight w:val="0"/>
      <w:marTop w:val="0"/>
      <w:marBottom w:val="0"/>
      <w:divBdr>
        <w:top w:val="none" w:sz="0" w:space="0" w:color="auto"/>
        <w:left w:val="none" w:sz="0" w:space="0" w:color="auto"/>
        <w:bottom w:val="none" w:sz="0" w:space="0" w:color="auto"/>
        <w:right w:val="none" w:sz="0" w:space="0" w:color="auto"/>
      </w:divBdr>
    </w:div>
    <w:div w:id="1367412863">
      <w:bodyDiv w:val="1"/>
      <w:marLeft w:val="0"/>
      <w:marRight w:val="0"/>
      <w:marTop w:val="0"/>
      <w:marBottom w:val="0"/>
      <w:divBdr>
        <w:top w:val="none" w:sz="0" w:space="0" w:color="auto"/>
        <w:left w:val="none" w:sz="0" w:space="0" w:color="auto"/>
        <w:bottom w:val="none" w:sz="0" w:space="0" w:color="auto"/>
        <w:right w:val="none" w:sz="0" w:space="0" w:color="auto"/>
      </w:divBdr>
    </w:div>
    <w:div w:id="1381786205">
      <w:bodyDiv w:val="1"/>
      <w:marLeft w:val="0"/>
      <w:marRight w:val="0"/>
      <w:marTop w:val="0"/>
      <w:marBottom w:val="0"/>
      <w:divBdr>
        <w:top w:val="none" w:sz="0" w:space="0" w:color="auto"/>
        <w:left w:val="none" w:sz="0" w:space="0" w:color="auto"/>
        <w:bottom w:val="none" w:sz="0" w:space="0" w:color="auto"/>
        <w:right w:val="none" w:sz="0" w:space="0" w:color="auto"/>
      </w:divBdr>
    </w:div>
    <w:div w:id="1382292047">
      <w:bodyDiv w:val="1"/>
      <w:marLeft w:val="0"/>
      <w:marRight w:val="0"/>
      <w:marTop w:val="0"/>
      <w:marBottom w:val="0"/>
      <w:divBdr>
        <w:top w:val="none" w:sz="0" w:space="0" w:color="auto"/>
        <w:left w:val="none" w:sz="0" w:space="0" w:color="auto"/>
        <w:bottom w:val="none" w:sz="0" w:space="0" w:color="auto"/>
        <w:right w:val="none" w:sz="0" w:space="0" w:color="auto"/>
      </w:divBdr>
    </w:div>
    <w:div w:id="1387802473">
      <w:bodyDiv w:val="1"/>
      <w:marLeft w:val="0"/>
      <w:marRight w:val="0"/>
      <w:marTop w:val="0"/>
      <w:marBottom w:val="0"/>
      <w:divBdr>
        <w:top w:val="none" w:sz="0" w:space="0" w:color="auto"/>
        <w:left w:val="none" w:sz="0" w:space="0" w:color="auto"/>
        <w:bottom w:val="none" w:sz="0" w:space="0" w:color="auto"/>
        <w:right w:val="none" w:sz="0" w:space="0" w:color="auto"/>
      </w:divBdr>
    </w:div>
    <w:div w:id="1396926347">
      <w:bodyDiv w:val="1"/>
      <w:marLeft w:val="0"/>
      <w:marRight w:val="0"/>
      <w:marTop w:val="0"/>
      <w:marBottom w:val="0"/>
      <w:divBdr>
        <w:top w:val="none" w:sz="0" w:space="0" w:color="auto"/>
        <w:left w:val="none" w:sz="0" w:space="0" w:color="auto"/>
        <w:bottom w:val="none" w:sz="0" w:space="0" w:color="auto"/>
        <w:right w:val="none" w:sz="0" w:space="0" w:color="auto"/>
      </w:divBdr>
    </w:div>
    <w:div w:id="1410688720">
      <w:bodyDiv w:val="1"/>
      <w:marLeft w:val="0"/>
      <w:marRight w:val="0"/>
      <w:marTop w:val="0"/>
      <w:marBottom w:val="0"/>
      <w:divBdr>
        <w:top w:val="none" w:sz="0" w:space="0" w:color="auto"/>
        <w:left w:val="none" w:sz="0" w:space="0" w:color="auto"/>
        <w:bottom w:val="none" w:sz="0" w:space="0" w:color="auto"/>
        <w:right w:val="none" w:sz="0" w:space="0" w:color="auto"/>
      </w:divBdr>
    </w:div>
    <w:div w:id="1412312481">
      <w:bodyDiv w:val="1"/>
      <w:marLeft w:val="0"/>
      <w:marRight w:val="0"/>
      <w:marTop w:val="0"/>
      <w:marBottom w:val="0"/>
      <w:divBdr>
        <w:top w:val="none" w:sz="0" w:space="0" w:color="auto"/>
        <w:left w:val="none" w:sz="0" w:space="0" w:color="auto"/>
        <w:bottom w:val="none" w:sz="0" w:space="0" w:color="auto"/>
        <w:right w:val="none" w:sz="0" w:space="0" w:color="auto"/>
      </w:divBdr>
    </w:div>
    <w:div w:id="1418284673">
      <w:bodyDiv w:val="1"/>
      <w:marLeft w:val="0"/>
      <w:marRight w:val="0"/>
      <w:marTop w:val="0"/>
      <w:marBottom w:val="0"/>
      <w:divBdr>
        <w:top w:val="none" w:sz="0" w:space="0" w:color="auto"/>
        <w:left w:val="none" w:sz="0" w:space="0" w:color="auto"/>
        <w:bottom w:val="none" w:sz="0" w:space="0" w:color="auto"/>
        <w:right w:val="none" w:sz="0" w:space="0" w:color="auto"/>
      </w:divBdr>
    </w:div>
    <w:div w:id="1427262749">
      <w:bodyDiv w:val="1"/>
      <w:marLeft w:val="0"/>
      <w:marRight w:val="0"/>
      <w:marTop w:val="0"/>
      <w:marBottom w:val="0"/>
      <w:divBdr>
        <w:top w:val="none" w:sz="0" w:space="0" w:color="auto"/>
        <w:left w:val="none" w:sz="0" w:space="0" w:color="auto"/>
        <w:bottom w:val="none" w:sz="0" w:space="0" w:color="auto"/>
        <w:right w:val="none" w:sz="0" w:space="0" w:color="auto"/>
      </w:divBdr>
    </w:div>
    <w:div w:id="1446804479">
      <w:bodyDiv w:val="1"/>
      <w:marLeft w:val="0"/>
      <w:marRight w:val="0"/>
      <w:marTop w:val="0"/>
      <w:marBottom w:val="0"/>
      <w:divBdr>
        <w:top w:val="none" w:sz="0" w:space="0" w:color="auto"/>
        <w:left w:val="none" w:sz="0" w:space="0" w:color="auto"/>
        <w:bottom w:val="none" w:sz="0" w:space="0" w:color="auto"/>
        <w:right w:val="none" w:sz="0" w:space="0" w:color="auto"/>
      </w:divBdr>
    </w:div>
    <w:div w:id="1461610752">
      <w:bodyDiv w:val="1"/>
      <w:marLeft w:val="0"/>
      <w:marRight w:val="0"/>
      <w:marTop w:val="0"/>
      <w:marBottom w:val="0"/>
      <w:divBdr>
        <w:top w:val="none" w:sz="0" w:space="0" w:color="auto"/>
        <w:left w:val="none" w:sz="0" w:space="0" w:color="auto"/>
        <w:bottom w:val="none" w:sz="0" w:space="0" w:color="auto"/>
        <w:right w:val="none" w:sz="0" w:space="0" w:color="auto"/>
      </w:divBdr>
    </w:div>
    <w:div w:id="1466387061">
      <w:bodyDiv w:val="1"/>
      <w:marLeft w:val="0"/>
      <w:marRight w:val="0"/>
      <w:marTop w:val="0"/>
      <w:marBottom w:val="0"/>
      <w:divBdr>
        <w:top w:val="none" w:sz="0" w:space="0" w:color="auto"/>
        <w:left w:val="none" w:sz="0" w:space="0" w:color="auto"/>
        <w:bottom w:val="none" w:sz="0" w:space="0" w:color="auto"/>
        <w:right w:val="none" w:sz="0" w:space="0" w:color="auto"/>
      </w:divBdr>
    </w:div>
    <w:div w:id="1476338020">
      <w:bodyDiv w:val="1"/>
      <w:marLeft w:val="0"/>
      <w:marRight w:val="0"/>
      <w:marTop w:val="0"/>
      <w:marBottom w:val="0"/>
      <w:divBdr>
        <w:top w:val="none" w:sz="0" w:space="0" w:color="auto"/>
        <w:left w:val="none" w:sz="0" w:space="0" w:color="auto"/>
        <w:bottom w:val="none" w:sz="0" w:space="0" w:color="auto"/>
        <w:right w:val="none" w:sz="0" w:space="0" w:color="auto"/>
      </w:divBdr>
    </w:div>
    <w:div w:id="1507397818">
      <w:bodyDiv w:val="1"/>
      <w:marLeft w:val="0"/>
      <w:marRight w:val="0"/>
      <w:marTop w:val="0"/>
      <w:marBottom w:val="0"/>
      <w:divBdr>
        <w:top w:val="none" w:sz="0" w:space="0" w:color="auto"/>
        <w:left w:val="none" w:sz="0" w:space="0" w:color="auto"/>
        <w:bottom w:val="none" w:sz="0" w:space="0" w:color="auto"/>
        <w:right w:val="none" w:sz="0" w:space="0" w:color="auto"/>
      </w:divBdr>
    </w:div>
    <w:div w:id="1509250962">
      <w:bodyDiv w:val="1"/>
      <w:marLeft w:val="0"/>
      <w:marRight w:val="0"/>
      <w:marTop w:val="0"/>
      <w:marBottom w:val="0"/>
      <w:divBdr>
        <w:top w:val="none" w:sz="0" w:space="0" w:color="auto"/>
        <w:left w:val="none" w:sz="0" w:space="0" w:color="auto"/>
        <w:bottom w:val="none" w:sz="0" w:space="0" w:color="auto"/>
        <w:right w:val="none" w:sz="0" w:space="0" w:color="auto"/>
      </w:divBdr>
    </w:div>
    <w:div w:id="1516262795">
      <w:bodyDiv w:val="1"/>
      <w:marLeft w:val="0"/>
      <w:marRight w:val="0"/>
      <w:marTop w:val="0"/>
      <w:marBottom w:val="0"/>
      <w:divBdr>
        <w:top w:val="none" w:sz="0" w:space="0" w:color="auto"/>
        <w:left w:val="none" w:sz="0" w:space="0" w:color="auto"/>
        <w:bottom w:val="none" w:sz="0" w:space="0" w:color="auto"/>
        <w:right w:val="none" w:sz="0" w:space="0" w:color="auto"/>
      </w:divBdr>
    </w:div>
    <w:div w:id="1517429339">
      <w:bodyDiv w:val="1"/>
      <w:marLeft w:val="0"/>
      <w:marRight w:val="0"/>
      <w:marTop w:val="0"/>
      <w:marBottom w:val="0"/>
      <w:divBdr>
        <w:top w:val="none" w:sz="0" w:space="0" w:color="auto"/>
        <w:left w:val="none" w:sz="0" w:space="0" w:color="auto"/>
        <w:bottom w:val="none" w:sz="0" w:space="0" w:color="auto"/>
        <w:right w:val="none" w:sz="0" w:space="0" w:color="auto"/>
      </w:divBdr>
    </w:div>
    <w:div w:id="1523863846">
      <w:bodyDiv w:val="1"/>
      <w:marLeft w:val="0"/>
      <w:marRight w:val="0"/>
      <w:marTop w:val="0"/>
      <w:marBottom w:val="0"/>
      <w:divBdr>
        <w:top w:val="none" w:sz="0" w:space="0" w:color="auto"/>
        <w:left w:val="none" w:sz="0" w:space="0" w:color="auto"/>
        <w:bottom w:val="none" w:sz="0" w:space="0" w:color="auto"/>
        <w:right w:val="none" w:sz="0" w:space="0" w:color="auto"/>
      </w:divBdr>
    </w:div>
    <w:div w:id="1530728403">
      <w:bodyDiv w:val="1"/>
      <w:marLeft w:val="0"/>
      <w:marRight w:val="0"/>
      <w:marTop w:val="0"/>
      <w:marBottom w:val="0"/>
      <w:divBdr>
        <w:top w:val="none" w:sz="0" w:space="0" w:color="auto"/>
        <w:left w:val="none" w:sz="0" w:space="0" w:color="auto"/>
        <w:bottom w:val="none" w:sz="0" w:space="0" w:color="auto"/>
        <w:right w:val="none" w:sz="0" w:space="0" w:color="auto"/>
      </w:divBdr>
    </w:div>
    <w:div w:id="1551067836">
      <w:bodyDiv w:val="1"/>
      <w:marLeft w:val="0"/>
      <w:marRight w:val="0"/>
      <w:marTop w:val="0"/>
      <w:marBottom w:val="0"/>
      <w:divBdr>
        <w:top w:val="none" w:sz="0" w:space="0" w:color="auto"/>
        <w:left w:val="none" w:sz="0" w:space="0" w:color="auto"/>
        <w:bottom w:val="none" w:sz="0" w:space="0" w:color="auto"/>
        <w:right w:val="none" w:sz="0" w:space="0" w:color="auto"/>
      </w:divBdr>
    </w:div>
    <w:div w:id="1551918707">
      <w:bodyDiv w:val="1"/>
      <w:marLeft w:val="0"/>
      <w:marRight w:val="0"/>
      <w:marTop w:val="0"/>
      <w:marBottom w:val="0"/>
      <w:divBdr>
        <w:top w:val="none" w:sz="0" w:space="0" w:color="auto"/>
        <w:left w:val="none" w:sz="0" w:space="0" w:color="auto"/>
        <w:bottom w:val="none" w:sz="0" w:space="0" w:color="auto"/>
        <w:right w:val="none" w:sz="0" w:space="0" w:color="auto"/>
      </w:divBdr>
    </w:div>
    <w:div w:id="1570774865">
      <w:bodyDiv w:val="1"/>
      <w:marLeft w:val="0"/>
      <w:marRight w:val="0"/>
      <w:marTop w:val="0"/>
      <w:marBottom w:val="0"/>
      <w:divBdr>
        <w:top w:val="none" w:sz="0" w:space="0" w:color="auto"/>
        <w:left w:val="none" w:sz="0" w:space="0" w:color="auto"/>
        <w:bottom w:val="none" w:sz="0" w:space="0" w:color="auto"/>
        <w:right w:val="none" w:sz="0" w:space="0" w:color="auto"/>
      </w:divBdr>
    </w:div>
    <w:div w:id="1574663410">
      <w:bodyDiv w:val="1"/>
      <w:marLeft w:val="0"/>
      <w:marRight w:val="0"/>
      <w:marTop w:val="0"/>
      <w:marBottom w:val="0"/>
      <w:divBdr>
        <w:top w:val="none" w:sz="0" w:space="0" w:color="auto"/>
        <w:left w:val="none" w:sz="0" w:space="0" w:color="auto"/>
        <w:bottom w:val="none" w:sz="0" w:space="0" w:color="auto"/>
        <w:right w:val="none" w:sz="0" w:space="0" w:color="auto"/>
      </w:divBdr>
    </w:div>
    <w:div w:id="1617181252">
      <w:bodyDiv w:val="1"/>
      <w:marLeft w:val="0"/>
      <w:marRight w:val="0"/>
      <w:marTop w:val="0"/>
      <w:marBottom w:val="0"/>
      <w:divBdr>
        <w:top w:val="none" w:sz="0" w:space="0" w:color="auto"/>
        <w:left w:val="none" w:sz="0" w:space="0" w:color="auto"/>
        <w:bottom w:val="none" w:sz="0" w:space="0" w:color="auto"/>
        <w:right w:val="none" w:sz="0" w:space="0" w:color="auto"/>
      </w:divBdr>
    </w:div>
    <w:div w:id="1633289015">
      <w:bodyDiv w:val="1"/>
      <w:marLeft w:val="0"/>
      <w:marRight w:val="0"/>
      <w:marTop w:val="0"/>
      <w:marBottom w:val="0"/>
      <w:divBdr>
        <w:top w:val="none" w:sz="0" w:space="0" w:color="auto"/>
        <w:left w:val="none" w:sz="0" w:space="0" w:color="auto"/>
        <w:bottom w:val="none" w:sz="0" w:space="0" w:color="auto"/>
        <w:right w:val="none" w:sz="0" w:space="0" w:color="auto"/>
      </w:divBdr>
    </w:div>
    <w:div w:id="1634292655">
      <w:bodyDiv w:val="1"/>
      <w:marLeft w:val="0"/>
      <w:marRight w:val="0"/>
      <w:marTop w:val="0"/>
      <w:marBottom w:val="0"/>
      <w:divBdr>
        <w:top w:val="none" w:sz="0" w:space="0" w:color="auto"/>
        <w:left w:val="none" w:sz="0" w:space="0" w:color="auto"/>
        <w:bottom w:val="none" w:sz="0" w:space="0" w:color="auto"/>
        <w:right w:val="none" w:sz="0" w:space="0" w:color="auto"/>
      </w:divBdr>
    </w:div>
    <w:div w:id="1646466305">
      <w:bodyDiv w:val="1"/>
      <w:marLeft w:val="0"/>
      <w:marRight w:val="0"/>
      <w:marTop w:val="0"/>
      <w:marBottom w:val="0"/>
      <w:divBdr>
        <w:top w:val="none" w:sz="0" w:space="0" w:color="auto"/>
        <w:left w:val="none" w:sz="0" w:space="0" w:color="auto"/>
        <w:bottom w:val="none" w:sz="0" w:space="0" w:color="auto"/>
        <w:right w:val="none" w:sz="0" w:space="0" w:color="auto"/>
      </w:divBdr>
    </w:div>
    <w:div w:id="1647665903">
      <w:bodyDiv w:val="1"/>
      <w:marLeft w:val="0"/>
      <w:marRight w:val="0"/>
      <w:marTop w:val="0"/>
      <w:marBottom w:val="0"/>
      <w:divBdr>
        <w:top w:val="none" w:sz="0" w:space="0" w:color="auto"/>
        <w:left w:val="none" w:sz="0" w:space="0" w:color="auto"/>
        <w:bottom w:val="none" w:sz="0" w:space="0" w:color="auto"/>
        <w:right w:val="none" w:sz="0" w:space="0" w:color="auto"/>
      </w:divBdr>
    </w:div>
    <w:div w:id="1649433259">
      <w:bodyDiv w:val="1"/>
      <w:marLeft w:val="0"/>
      <w:marRight w:val="0"/>
      <w:marTop w:val="0"/>
      <w:marBottom w:val="0"/>
      <w:divBdr>
        <w:top w:val="none" w:sz="0" w:space="0" w:color="auto"/>
        <w:left w:val="none" w:sz="0" w:space="0" w:color="auto"/>
        <w:bottom w:val="none" w:sz="0" w:space="0" w:color="auto"/>
        <w:right w:val="none" w:sz="0" w:space="0" w:color="auto"/>
      </w:divBdr>
    </w:div>
    <w:div w:id="1659648698">
      <w:bodyDiv w:val="1"/>
      <w:marLeft w:val="0"/>
      <w:marRight w:val="0"/>
      <w:marTop w:val="0"/>
      <w:marBottom w:val="0"/>
      <w:divBdr>
        <w:top w:val="none" w:sz="0" w:space="0" w:color="auto"/>
        <w:left w:val="none" w:sz="0" w:space="0" w:color="auto"/>
        <w:bottom w:val="none" w:sz="0" w:space="0" w:color="auto"/>
        <w:right w:val="none" w:sz="0" w:space="0" w:color="auto"/>
      </w:divBdr>
    </w:div>
    <w:div w:id="1664159543">
      <w:bodyDiv w:val="1"/>
      <w:marLeft w:val="0"/>
      <w:marRight w:val="0"/>
      <w:marTop w:val="0"/>
      <w:marBottom w:val="0"/>
      <w:divBdr>
        <w:top w:val="none" w:sz="0" w:space="0" w:color="auto"/>
        <w:left w:val="none" w:sz="0" w:space="0" w:color="auto"/>
        <w:bottom w:val="none" w:sz="0" w:space="0" w:color="auto"/>
        <w:right w:val="none" w:sz="0" w:space="0" w:color="auto"/>
      </w:divBdr>
    </w:div>
    <w:div w:id="1717392992">
      <w:bodyDiv w:val="1"/>
      <w:marLeft w:val="0"/>
      <w:marRight w:val="0"/>
      <w:marTop w:val="0"/>
      <w:marBottom w:val="0"/>
      <w:divBdr>
        <w:top w:val="none" w:sz="0" w:space="0" w:color="auto"/>
        <w:left w:val="none" w:sz="0" w:space="0" w:color="auto"/>
        <w:bottom w:val="none" w:sz="0" w:space="0" w:color="auto"/>
        <w:right w:val="none" w:sz="0" w:space="0" w:color="auto"/>
      </w:divBdr>
    </w:div>
    <w:div w:id="1719041246">
      <w:bodyDiv w:val="1"/>
      <w:marLeft w:val="0"/>
      <w:marRight w:val="0"/>
      <w:marTop w:val="0"/>
      <w:marBottom w:val="0"/>
      <w:divBdr>
        <w:top w:val="none" w:sz="0" w:space="0" w:color="auto"/>
        <w:left w:val="none" w:sz="0" w:space="0" w:color="auto"/>
        <w:bottom w:val="none" w:sz="0" w:space="0" w:color="auto"/>
        <w:right w:val="none" w:sz="0" w:space="0" w:color="auto"/>
      </w:divBdr>
    </w:div>
    <w:div w:id="1730877394">
      <w:bodyDiv w:val="1"/>
      <w:marLeft w:val="0"/>
      <w:marRight w:val="0"/>
      <w:marTop w:val="0"/>
      <w:marBottom w:val="0"/>
      <w:divBdr>
        <w:top w:val="none" w:sz="0" w:space="0" w:color="auto"/>
        <w:left w:val="none" w:sz="0" w:space="0" w:color="auto"/>
        <w:bottom w:val="none" w:sz="0" w:space="0" w:color="auto"/>
        <w:right w:val="none" w:sz="0" w:space="0" w:color="auto"/>
      </w:divBdr>
    </w:div>
    <w:div w:id="1733041828">
      <w:bodyDiv w:val="1"/>
      <w:marLeft w:val="0"/>
      <w:marRight w:val="0"/>
      <w:marTop w:val="0"/>
      <w:marBottom w:val="0"/>
      <w:divBdr>
        <w:top w:val="none" w:sz="0" w:space="0" w:color="auto"/>
        <w:left w:val="none" w:sz="0" w:space="0" w:color="auto"/>
        <w:bottom w:val="none" w:sz="0" w:space="0" w:color="auto"/>
        <w:right w:val="none" w:sz="0" w:space="0" w:color="auto"/>
      </w:divBdr>
    </w:div>
    <w:div w:id="1759986196">
      <w:bodyDiv w:val="1"/>
      <w:marLeft w:val="0"/>
      <w:marRight w:val="0"/>
      <w:marTop w:val="0"/>
      <w:marBottom w:val="0"/>
      <w:divBdr>
        <w:top w:val="none" w:sz="0" w:space="0" w:color="auto"/>
        <w:left w:val="none" w:sz="0" w:space="0" w:color="auto"/>
        <w:bottom w:val="none" w:sz="0" w:space="0" w:color="auto"/>
        <w:right w:val="none" w:sz="0" w:space="0" w:color="auto"/>
      </w:divBdr>
    </w:div>
    <w:div w:id="1826585497">
      <w:bodyDiv w:val="1"/>
      <w:marLeft w:val="0"/>
      <w:marRight w:val="0"/>
      <w:marTop w:val="0"/>
      <w:marBottom w:val="0"/>
      <w:divBdr>
        <w:top w:val="none" w:sz="0" w:space="0" w:color="auto"/>
        <w:left w:val="none" w:sz="0" w:space="0" w:color="auto"/>
        <w:bottom w:val="none" w:sz="0" w:space="0" w:color="auto"/>
        <w:right w:val="none" w:sz="0" w:space="0" w:color="auto"/>
      </w:divBdr>
    </w:div>
    <w:div w:id="1828739262">
      <w:bodyDiv w:val="1"/>
      <w:marLeft w:val="0"/>
      <w:marRight w:val="0"/>
      <w:marTop w:val="0"/>
      <w:marBottom w:val="0"/>
      <w:divBdr>
        <w:top w:val="none" w:sz="0" w:space="0" w:color="auto"/>
        <w:left w:val="none" w:sz="0" w:space="0" w:color="auto"/>
        <w:bottom w:val="none" w:sz="0" w:space="0" w:color="auto"/>
        <w:right w:val="none" w:sz="0" w:space="0" w:color="auto"/>
      </w:divBdr>
    </w:div>
    <w:div w:id="1835611680">
      <w:bodyDiv w:val="1"/>
      <w:marLeft w:val="0"/>
      <w:marRight w:val="0"/>
      <w:marTop w:val="0"/>
      <w:marBottom w:val="0"/>
      <w:divBdr>
        <w:top w:val="none" w:sz="0" w:space="0" w:color="auto"/>
        <w:left w:val="none" w:sz="0" w:space="0" w:color="auto"/>
        <w:bottom w:val="none" w:sz="0" w:space="0" w:color="auto"/>
        <w:right w:val="none" w:sz="0" w:space="0" w:color="auto"/>
      </w:divBdr>
    </w:div>
    <w:div w:id="1841115618">
      <w:bodyDiv w:val="1"/>
      <w:marLeft w:val="0"/>
      <w:marRight w:val="0"/>
      <w:marTop w:val="0"/>
      <w:marBottom w:val="0"/>
      <w:divBdr>
        <w:top w:val="none" w:sz="0" w:space="0" w:color="auto"/>
        <w:left w:val="none" w:sz="0" w:space="0" w:color="auto"/>
        <w:bottom w:val="none" w:sz="0" w:space="0" w:color="auto"/>
        <w:right w:val="none" w:sz="0" w:space="0" w:color="auto"/>
      </w:divBdr>
    </w:div>
    <w:div w:id="1844082238">
      <w:bodyDiv w:val="1"/>
      <w:marLeft w:val="0"/>
      <w:marRight w:val="0"/>
      <w:marTop w:val="0"/>
      <w:marBottom w:val="0"/>
      <w:divBdr>
        <w:top w:val="none" w:sz="0" w:space="0" w:color="auto"/>
        <w:left w:val="none" w:sz="0" w:space="0" w:color="auto"/>
        <w:bottom w:val="none" w:sz="0" w:space="0" w:color="auto"/>
        <w:right w:val="none" w:sz="0" w:space="0" w:color="auto"/>
      </w:divBdr>
    </w:div>
    <w:div w:id="1860191147">
      <w:bodyDiv w:val="1"/>
      <w:marLeft w:val="0"/>
      <w:marRight w:val="0"/>
      <w:marTop w:val="0"/>
      <w:marBottom w:val="0"/>
      <w:divBdr>
        <w:top w:val="none" w:sz="0" w:space="0" w:color="auto"/>
        <w:left w:val="none" w:sz="0" w:space="0" w:color="auto"/>
        <w:bottom w:val="none" w:sz="0" w:space="0" w:color="auto"/>
        <w:right w:val="none" w:sz="0" w:space="0" w:color="auto"/>
      </w:divBdr>
    </w:div>
    <w:div w:id="1908146193">
      <w:bodyDiv w:val="1"/>
      <w:marLeft w:val="0"/>
      <w:marRight w:val="0"/>
      <w:marTop w:val="0"/>
      <w:marBottom w:val="0"/>
      <w:divBdr>
        <w:top w:val="none" w:sz="0" w:space="0" w:color="auto"/>
        <w:left w:val="none" w:sz="0" w:space="0" w:color="auto"/>
        <w:bottom w:val="none" w:sz="0" w:space="0" w:color="auto"/>
        <w:right w:val="none" w:sz="0" w:space="0" w:color="auto"/>
      </w:divBdr>
    </w:div>
    <w:div w:id="1935017243">
      <w:bodyDiv w:val="1"/>
      <w:marLeft w:val="0"/>
      <w:marRight w:val="0"/>
      <w:marTop w:val="0"/>
      <w:marBottom w:val="0"/>
      <w:divBdr>
        <w:top w:val="none" w:sz="0" w:space="0" w:color="auto"/>
        <w:left w:val="none" w:sz="0" w:space="0" w:color="auto"/>
        <w:bottom w:val="none" w:sz="0" w:space="0" w:color="auto"/>
        <w:right w:val="none" w:sz="0" w:space="0" w:color="auto"/>
      </w:divBdr>
    </w:div>
    <w:div w:id="1941061709">
      <w:bodyDiv w:val="1"/>
      <w:marLeft w:val="0"/>
      <w:marRight w:val="0"/>
      <w:marTop w:val="0"/>
      <w:marBottom w:val="0"/>
      <w:divBdr>
        <w:top w:val="none" w:sz="0" w:space="0" w:color="auto"/>
        <w:left w:val="none" w:sz="0" w:space="0" w:color="auto"/>
        <w:bottom w:val="none" w:sz="0" w:space="0" w:color="auto"/>
        <w:right w:val="none" w:sz="0" w:space="0" w:color="auto"/>
      </w:divBdr>
    </w:div>
    <w:div w:id="1984236837">
      <w:bodyDiv w:val="1"/>
      <w:marLeft w:val="0"/>
      <w:marRight w:val="0"/>
      <w:marTop w:val="0"/>
      <w:marBottom w:val="0"/>
      <w:divBdr>
        <w:top w:val="none" w:sz="0" w:space="0" w:color="auto"/>
        <w:left w:val="none" w:sz="0" w:space="0" w:color="auto"/>
        <w:bottom w:val="none" w:sz="0" w:space="0" w:color="auto"/>
        <w:right w:val="none" w:sz="0" w:space="0" w:color="auto"/>
      </w:divBdr>
    </w:div>
    <w:div w:id="1984964330">
      <w:bodyDiv w:val="1"/>
      <w:marLeft w:val="0"/>
      <w:marRight w:val="0"/>
      <w:marTop w:val="0"/>
      <w:marBottom w:val="0"/>
      <w:divBdr>
        <w:top w:val="none" w:sz="0" w:space="0" w:color="auto"/>
        <w:left w:val="none" w:sz="0" w:space="0" w:color="auto"/>
        <w:bottom w:val="none" w:sz="0" w:space="0" w:color="auto"/>
        <w:right w:val="none" w:sz="0" w:space="0" w:color="auto"/>
      </w:divBdr>
    </w:div>
    <w:div w:id="1986280250">
      <w:bodyDiv w:val="1"/>
      <w:marLeft w:val="0"/>
      <w:marRight w:val="0"/>
      <w:marTop w:val="0"/>
      <w:marBottom w:val="0"/>
      <w:divBdr>
        <w:top w:val="none" w:sz="0" w:space="0" w:color="auto"/>
        <w:left w:val="none" w:sz="0" w:space="0" w:color="auto"/>
        <w:bottom w:val="none" w:sz="0" w:space="0" w:color="auto"/>
        <w:right w:val="none" w:sz="0" w:space="0" w:color="auto"/>
      </w:divBdr>
    </w:div>
    <w:div w:id="1996687907">
      <w:bodyDiv w:val="1"/>
      <w:marLeft w:val="0"/>
      <w:marRight w:val="0"/>
      <w:marTop w:val="0"/>
      <w:marBottom w:val="0"/>
      <w:divBdr>
        <w:top w:val="none" w:sz="0" w:space="0" w:color="auto"/>
        <w:left w:val="none" w:sz="0" w:space="0" w:color="auto"/>
        <w:bottom w:val="none" w:sz="0" w:space="0" w:color="auto"/>
        <w:right w:val="none" w:sz="0" w:space="0" w:color="auto"/>
      </w:divBdr>
    </w:div>
    <w:div w:id="1996906654">
      <w:bodyDiv w:val="1"/>
      <w:marLeft w:val="0"/>
      <w:marRight w:val="0"/>
      <w:marTop w:val="0"/>
      <w:marBottom w:val="0"/>
      <w:divBdr>
        <w:top w:val="none" w:sz="0" w:space="0" w:color="auto"/>
        <w:left w:val="none" w:sz="0" w:space="0" w:color="auto"/>
        <w:bottom w:val="none" w:sz="0" w:space="0" w:color="auto"/>
        <w:right w:val="none" w:sz="0" w:space="0" w:color="auto"/>
      </w:divBdr>
    </w:div>
    <w:div w:id="2005742423">
      <w:bodyDiv w:val="1"/>
      <w:marLeft w:val="0"/>
      <w:marRight w:val="0"/>
      <w:marTop w:val="0"/>
      <w:marBottom w:val="0"/>
      <w:divBdr>
        <w:top w:val="none" w:sz="0" w:space="0" w:color="auto"/>
        <w:left w:val="none" w:sz="0" w:space="0" w:color="auto"/>
        <w:bottom w:val="none" w:sz="0" w:space="0" w:color="auto"/>
        <w:right w:val="none" w:sz="0" w:space="0" w:color="auto"/>
      </w:divBdr>
    </w:div>
    <w:div w:id="2022583882">
      <w:bodyDiv w:val="1"/>
      <w:marLeft w:val="0"/>
      <w:marRight w:val="0"/>
      <w:marTop w:val="0"/>
      <w:marBottom w:val="0"/>
      <w:divBdr>
        <w:top w:val="none" w:sz="0" w:space="0" w:color="auto"/>
        <w:left w:val="none" w:sz="0" w:space="0" w:color="auto"/>
        <w:bottom w:val="none" w:sz="0" w:space="0" w:color="auto"/>
        <w:right w:val="none" w:sz="0" w:space="0" w:color="auto"/>
      </w:divBdr>
    </w:div>
    <w:div w:id="2054380317">
      <w:bodyDiv w:val="1"/>
      <w:marLeft w:val="0"/>
      <w:marRight w:val="0"/>
      <w:marTop w:val="0"/>
      <w:marBottom w:val="0"/>
      <w:divBdr>
        <w:top w:val="none" w:sz="0" w:space="0" w:color="auto"/>
        <w:left w:val="none" w:sz="0" w:space="0" w:color="auto"/>
        <w:bottom w:val="none" w:sz="0" w:space="0" w:color="auto"/>
        <w:right w:val="none" w:sz="0" w:space="0" w:color="auto"/>
      </w:divBdr>
    </w:div>
    <w:div w:id="213458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energsoft.com/blog/f/energy-storage-proble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90DFB-B306-48E9-8580-BA1867EC0BF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16</Pages>
  <Words>5742</Words>
  <Characters>32733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Calvin Dong</dc:creator>
  <cp:keywords/>
  <dc:description/>
  <cp:lastModifiedBy>Alec Mazurek</cp:lastModifiedBy>
  <cp:revision>21</cp:revision>
  <cp:lastPrinted>2021-04-28T01:30:00Z</cp:lastPrinted>
  <dcterms:created xsi:type="dcterms:W3CDTF">2022-08-03T14:10:00Z</dcterms:created>
  <dcterms:modified xsi:type="dcterms:W3CDTF">2022-09-07T19:43:00Z</dcterms:modified>
</cp:coreProperties>
</file>